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D8360F" w14:textId="77777777" w:rsidR="008C40F8" w:rsidRDefault="00196F85" w:rsidP="00196F85">
      <w:pPr>
        <w:spacing w:before="100"/>
        <w:rPr>
          <w:rFonts w:ascii="Arial Black"/>
          <w:b/>
          <w:sz w:val="108"/>
        </w:rPr>
      </w:pPr>
      <w:r>
        <w:rPr>
          <w:rFonts w:ascii="Arial Black"/>
          <w:b/>
          <w:sz w:val="108"/>
        </w:rPr>
        <w:t>Memo</w:t>
      </w:r>
    </w:p>
    <w:p w14:paraId="6E9EBFC1" w14:textId="77777777" w:rsidR="008C40F8" w:rsidRDefault="008C40F8">
      <w:pPr>
        <w:pStyle w:val="BodyText"/>
        <w:spacing w:before="8"/>
        <w:ind w:firstLine="0"/>
        <w:rPr>
          <w:rFonts w:ascii="Arial Black"/>
          <w:b/>
          <w:sz w:val="25"/>
        </w:rPr>
      </w:pPr>
    </w:p>
    <w:tbl>
      <w:tblPr>
        <w:tblW w:w="0" w:type="auto"/>
        <w:tblLayout w:type="fixed"/>
        <w:tblCellMar>
          <w:left w:w="0" w:type="dxa"/>
          <w:right w:w="0" w:type="dxa"/>
        </w:tblCellMar>
        <w:tblLook w:val="01E0" w:firstRow="1" w:lastRow="1" w:firstColumn="1" w:lastColumn="1" w:noHBand="0" w:noVBand="0"/>
      </w:tblPr>
      <w:tblGrid>
        <w:gridCol w:w="949"/>
        <w:gridCol w:w="5425"/>
      </w:tblGrid>
      <w:tr w:rsidR="008C40F8" w14:paraId="252C32B3" w14:textId="77777777" w:rsidTr="00196F85">
        <w:trPr>
          <w:trHeight w:val="660"/>
        </w:trPr>
        <w:tc>
          <w:tcPr>
            <w:tcW w:w="949" w:type="dxa"/>
          </w:tcPr>
          <w:p w14:paraId="5B2F34F1" w14:textId="77777777" w:rsidR="008C40F8" w:rsidRDefault="00196F85" w:rsidP="00134467">
            <w:pPr>
              <w:pStyle w:val="TableParagraph"/>
              <w:spacing w:before="1"/>
              <w:ind w:left="4"/>
              <w:rPr>
                <w:rFonts w:ascii="Arial Black"/>
                <w:b/>
              </w:rPr>
            </w:pPr>
            <w:r>
              <w:rPr>
                <w:rFonts w:ascii="Arial Black"/>
                <w:b/>
              </w:rPr>
              <w:t>To:</w:t>
            </w:r>
          </w:p>
        </w:tc>
        <w:tc>
          <w:tcPr>
            <w:tcW w:w="5425" w:type="dxa"/>
          </w:tcPr>
          <w:p w14:paraId="3D0ED5B2" w14:textId="77777777" w:rsidR="008C40F8" w:rsidRDefault="00196F85">
            <w:pPr>
              <w:pStyle w:val="TableParagraph"/>
              <w:spacing w:before="39" w:line="252" w:lineRule="exact"/>
            </w:pPr>
            <w:r>
              <w:t>Prepared for Hudson West</w:t>
            </w:r>
          </w:p>
          <w:p w14:paraId="7D28E6D3" w14:textId="77777777" w:rsidR="008C40F8" w:rsidRDefault="00196F85">
            <w:pPr>
              <w:pStyle w:val="TableParagraph"/>
              <w:spacing w:line="252" w:lineRule="exact"/>
            </w:pPr>
            <w:r>
              <w:t>3 Columbus Circle, New York, NY</w:t>
            </w:r>
          </w:p>
        </w:tc>
      </w:tr>
      <w:tr w:rsidR="008C40F8" w14:paraId="3F1D0D96" w14:textId="77777777" w:rsidTr="00196F85">
        <w:trPr>
          <w:trHeight w:val="540"/>
        </w:trPr>
        <w:tc>
          <w:tcPr>
            <w:tcW w:w="949" w:type="dxa"/>
          </w:tcPr>
          <w:p w14:paraId="2BA1D538" w14:textId="77777777" w:rsidR="008C40F8" w:rsidRDefault="00196F85">
            <w:pPr>
              <w:pStyle w:val="TableParagraph"/>
              <w:spacing w:before="121"/>
              <w:ind w:left="14"/>
              <w:rPr>
                <w:rFonts w:ascii="Arial Black"/>
                <w:b/>
              </w:rPr>
            </w:pPr>
            <w:r>
              <w:rPr>
                <w:rFonts w:ascii="Arial Black"/>
                <w:b/>
              </w:rPr>
              <w:t>Date:</w:t>
            </w:r>
          </w:p>
        </w:tc>
        <w:tc>
          <w:tcPr>
            <w:tcW w:w="5425" w:type="dxa"/>
          </w:tcPr>
          <w:p w14:paraId="7A7D972A" w14:textId="77777777" w:rsidR="008C40F8" w:rsidRDefault="00A87723" w:rsidP="00C737E0">
            <w:pPr>
              <w:pStyle w:val="TableParagraph"/>
              <w:spacing w:before="159"/>
            </w:pPr>
            <w:r>
              <w:t>November</w:t>
            </w:r>
            <w:r w:rsidR="00196F85">
              <w:t xml:space="preserve"> </w:t>
            </w:r>
            <w:r w:rsidR="00C737E0">
              <w:t>10</w:t>
            </w:r>
            <w:r w:rsidR="00196F85">
              <w:t>, 2017</w:t>
            </w:r>
          </w:p>
        </w:tc>
      </w:tr>
      <w:tr w:rsidR="008C40F8" w14:paraId="3A5B927A" w14:textId="77777777" w:rsidTr="00196F85">
        <w:trPr>
          <w:trHeight w:val="720"/>
        </w:trPr>
        <w:tc>
          <w:tcPr>
            <w:tcW w:w="949" w:type="dxa"/>
          </w:tcPr>
          <w:p w14:paraId="589EF98D" w14:textId="77777777" w:rsidR="008C40F8" w:rsidRDefault="00196F85">
            <w:pPr>
              <w:pStyle w:val="TableParagraph"/>
              <w:spacing w:before="120"/>
              <w:ind w:left="14"/>
              <w:rPr>
                <w:rFonts w:ascii="Arial Black"/>
                <w:b/>
              </w:rPr>
            </w:pPr>
            <w:r>
              <w:rPr>
                <w:rFonts w:ascii="Arial Black"/>
                <w:b/>
              </w:rPr>
              <w:t>Re:</w:t>
            </w:r>
          </w:p>
        </w:tc>
        <w:tc>
          <w:tcPr>
            <w:tcW w:w="5425" w:type="dxa"/>
          </w:tcPr>
          <w:p w14:paraId="65D869B1" w14:textId="77777777" w:rsidR="008C40F8" w:rsidRDefault="00196F85">
            <w:pPr>
              <w:pStyle w:val="TableParagraph"/>
              <w:spacing w:before="117"/>
            </w:pPr>
            <w:r>
              <w:t>Overview of LNG Limited (Magnolia LNG)</w:t>
            </w:r>
          </w:p>
        </w:tc>
      </w:tr>
    </w:tbl>
    <w:p w14:paraId="660F30BA" w14:textId="77777777" w:rsidR="008C40F8" w:rsidRDefault="00A87723" w:rsidP="00196F85">
      <w:pPr>
        <w:pStyle w:val="BodyText"/>
        <w:spacing w:line="20" w:lineRule="exact"/>
        <w:ind w:firstLine="0"/>
        <w:rPr>
          <w:rFonts w:ascii="Arial Black"/>
          <w:sz w:val="2"/>
        </w:rPr>
      </w:pPr>
      <w:r>
        <w:rPr>
          <w:rFonts w:ascii="Arial Black"/>
          <w:noProof/>
          <w:sz w:val="2"/>
        </w:rPr>
        <mc:AlternateContent>
          <mc:Choice Requires="wpg">
            <w:drawing>
              <wp:inline distT="0" distB="0" distL="0" distR="0" wp14:anchorId="4E52B209" wp14:editId="5584D145">
                <wp:extent cx="6057900" cy="101600"/>
                <wp:effectExtent l="0" t="0" r="19050" b="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7900" cy="101600"/>
                          <a:chOff x="0" y="0"/>
                          <a:chExt cx="9381" cy="5"/>
                        </a:xfrm>
                      </wpg:grpSpPr>
                      <wps:wsp>
                        <wps:cNvPr id="2" name="Line 5"/>
                        <wps:cNvCnPr>
                          <a:cxnSpLocks noChangeShapeType="1"/>
                        </wps:cNvCnPr>
                        <wps:spPr bwMode="auto">
                          <a:xfrm>
                            <a:off x="3" y="3"/>
                            <a:ext cx="124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1234" y="3"/>
                            <a:ext cx="4"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s:wsp>
                        <wps:cNvPr id="4" name="Line 3"/>
                        <wps:cNvCnPr>
                          <a:cxnSpLocks noChangeShapeType="1"/>
                        </wps:cNvCnPr>
                        <wps:spPr bwMode="auto">
                          <a:xfrm>
                            <a:off x="1238" y="3"/>
                            <a:ext cx="8140"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87A09DB" id="Group 2" o:spid="_x0000_s1026" style="width:477pt;height:8pt;mso-position-horizontal-relative:char;mso-position-vertical-relative:line" coordsize="93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">
                <v:line id="Line 5" o:spid="_x0000_s1027" style="position:absolute;visibility:visible;mso-wrap-style:square" from="3,3" to="124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wuCb8AAADaAAAADwAAAGRycy9kb3ducmV2LnhtbESPT4vCMBTE7wt+h/AEb9tUDyLVWIpQ&#10;2fW2/rk/mmdTbV5KE2399mZhYY/DzPyG2eSjbcWTet84VjBPUhDEldMN1wrOp/JzBcIHZI2tY1Lw&#10;Ig/5dvKxwUy7gX/oeQy1iBD2GSowIXSZlL4yZNEnriOO3tX1FkOUfS11j0OE21Yu0nQpLTYcFwx2&#10;tDNU3Y8PGykrs2y/905eDsNwK0pbxvm5UrPpWKxBBBrDf/iv/aUVLOD3SrwBcvsG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pgwuCb8AAADaAAAADwAAAAAAAAAAAAAAAACh&#10;AgAAZHJzL2Rvd25yZXYueG1sUEsFBgAAAAAEAAQA+QAAAI0DAAAAAA==&#10;" strokeweight=".24pt"/>
                <v:line id="Line 4" o:spid="_x0000_s1028" style="position:absolute;visibility:visible;mso-wrap-style:square" from="1234,3" to="123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UCLksAAAADaAAAADwAAAGRycy9kb3ducmV2LnhtbESPQWvCQBSE7wX/w/IEb3VjhRCiq4gQ&#10;0d6atvdH9pmNZt+G7DaJ/94tFHocZuYbZrufbCsG6n3jWMFqmYAgrpxuuFbw9Vm8ZiB8QNbYOiYF&#10;D/Kw381etphrN/IHDWWoRYSwz1GBCaHLpfSVIYt+6Tri6F1dbzFE2ddS9zhGuG3lW5Kk0mLDccFg&#10;R0dD1b38sZGSmbS9nJz8fh/H26GwRZxfKbWYT4cNiEBT+A//tc9awRp+r8QbIHd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lAi5LAAAAA2gAAAA8AAAAAAAAAAAAAAAAA&#10;oQIAAGRycy9kb3ducmV2LnhtbFBLBQYAAAAABAAEAPkAAACOAwAAAAA=&#10;" strokeweight=".24pt"/>
                <v:line id="Line 3" o:spid="_x0000_s1029" style="position:absolute;visibility:visible;mso-wrap-style:square" from="1238,3" to="937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kT5sAAAADaAAAADwAAAGRycy9kb3ducmV2LnhtbESPQWvCQBSE7wX/w/IEb3VjkRCiq4gQ&#10;0d6atvdH9pmNZt+G7DaJ/94tFHocZuYbZrufbCsG6n3jWMFqmYAgrpxuuFbw9Vm8ZiB8QNbYOiYF&#10;D/Kw381etphrN/IHDWWoRYSwz1GBCaHLpfSVIYt+6Tri6F1dbzFE2ddS9zhGuG3lW5Kk0mLDccFg&#10;R0dD1b38sZGSmbS9nJz8fh/H26GwRZxfKbWYT4cNiEBT+A//tc9awRp+r8QbIHd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apE+bAAAAA2gAAAA8AAAAAAAAAAAAAAAAA&#10;oQIAAGRycy9kb3ducmV2LnhtbFBLBQYAAAAABAAEAPkAAACOAwAAAAA=&#10;" strokeweight=".24pt"/>
                <w10:anchorlock/>
              </v:group>
            </w:pict>
          </mc:Fallback>
        </mc:AlternateContent>
      </w:r>
    </w:p>
    <w:p w14:paraId="6FCD4AAD" w14:textId="77777777" w:rsidR="00134467" w:rsidRDefault="00134467" w:rsidP="00134467"/>
    <w:p w14:paraId="31B6B966" w14:textId="77777777" w:rsidR="00134467" w:rsidRDefault="00134467" w:rsidP="00134467"/>
    <w:p w14:paraId="49F33CEB" w14:textId="77777777" w:rsidR="00134467" w:rsidRPr="00134467" w:rsidRDefault="00134467" w:rsidP="00134467">
      <w:pPr>
        <w:jc w:val="center"/>
        <w:rPr>
          <w:u w:val="single"/>
        </w:rPr>
      </w:pPr>
      <w:r w:rsidRPr="00134467">
        <w:rPr>
          <w:u w:val="single"/>
        </w:rPr>
        <w:t>Summary Talking Points</w:t>
      </w:r>
    </w:p>
    <w:p w14:paraId="1374EC6C" w14:textId="77777777" w:rsidR="00134467" w:rsidRDefault="00134467" w:rsidP="00134467">
      <w:pPr>
        <w:pStyle w:val="ListParagraph"/>
        <w:ind w:left="720" w:firstLine="0"/>
      </w:pPr>
    </w:p>
    <w:p w14:paraId="079EB80A" w14:textId="3971FC48" w:rsidR="00C737E0" w:rsidRDefault="00B31160" w:rsidP="00C737E0">
      <w:pPr>
        <w:pStyle w:val="ListParagraph"/>
        <w:numPr>
          <w:ilvl w:val="0"/>
          <w:numId w:val="5"/>
        </w:numPr>
        <w:ind w:left="360"/>
        <w:jc w:val="both"/>
      </w:pPr>
      <w:r>
        <w:t xml:space="preserve">Magnolia LNG </w:t>
      </w:r>
      <w:r w:rsidR="00C737E0">
        <w:t>is</w:t>
      </w:r>
      <w:r>
        <w:t xml:space="preserve"> a fully permitted LNG project. However, they have been unable to attract </w:t>
      </w:r>
      <w:r w:rsidR="00C737E0">
        <w:t xml:space="preserve">any </w:t>
      </w:r>
      <w:r>
        <w:t>LNG buyers</w:t>
      </w:r>
      <w:r w:rsidR="00C737E0">
        <w:t xml:space="preserve"> to sign binding LNG contracts,</w:t>
      </w:r>
      <w:r w:rsidR="00A10ACC">
        <w:t xml:space="preserve"> which raises </w:t>
      </w:r>
      <w:r w:rsidR="00407EDC">
        <w:t>significant</w:t>
      </w:r>
      <w:r w:rsidR="00A10ACC">
        <w:t xml:space="preserve"> concern</w:t>
      </w:r>
      <w:r w:rsidR="00C737E0">
        <w:t>s</w:t>
      </w:r>
      <w:r w:rsidR="00A10ACC">
        <w:t xml:space="preserve"> for their </w:t>
      </w:r>
      <w:r w:rsidR="000A15D7">
        <w:t xml:space="preserve">current and future investors. </w:t>
      </w:r>
    </w:p>
    <w:p w14:paraId="7D4D56D0" w14:textId="77777777" w:rsidR="00B31160" w:rsidRDefault="00B31160" w:rsidP="00C737E0">
      <w:pPr>
        <w:pStyle w:val="ListParagraph"/>
        <w:ind w:left="360" w:firstLine="0"/>
        <w:jc w:val="both"/>
      </w:pPr>
    </w:p>
    <w:p w14:paraId="1B0869C4" w14:textId="1CF62285" w:rsidR="00F36A44" w:rsidRDefault="008E59CC" w:rsidP="00C737E0">
      <w:pPr>
        <w:pStyle w:val="ListParagraph"/>
        <w:numPr>
          <w:ilvl w:val="0"/>
          <w:numId w:val="5"/>
        </w:numPr>
        <w:ind w:left="360"/>
        <w:jc w:val="both"/>
      </w:pPr>
      <w:r>
        <w:t>Magnolia LNG ha</w:t>
      </w:r>
      <w:r w:rsidR="00B71B6A">
        <w:t>s</w:t>
      </w:r>
      <w:r w:rsidR="00853144">
        <w:t xml:space="preserve"> elected to use their own unproven LNG technology</w:t>
      </w:r>
      <w:r>
        <w:t>, OSMR,</w:t>
      </w:r>
      <w:r w:rsidR="00523520">
        <w:t xml:space="preserve"> for their LNG export project</w:t>
      </w:r>
      <w:r>
        <w:t>, which</w:t>
      </w:r>
      <w:r w:rsidR="00134467">
        <w:t xml:space="preserve"> has never bee</w:t>
      </w:r>
      <w:r w:rsidR="00420EEB">
        <w:t>n built or put into operations. The</w:t>
      </w:r>
      <w:r w:rsidR="00C737E0">
        <w:t xml:space="preserve">ir investors have multi-billion dollar risk </w:t>
      </w:r>
      <w:r w:rsidR="00E067E8">
        <w:t>by</w:t>
      </w:r>
      <w:r w:rsidR="00C737E0">
        <w:t xml:space="preserve"> financing a first-of-a-kind LNG technology. </w:t>
      </w:r>
    </w:p>
    <w:p w14:paraId="2CCE55F4" w14:textId="77777777" w:rsidR="00C737E0" w:rsidRDefault="00C737E0" w:rsidP="00C737E0">
      <w:pPr>
        <w:pStyle w:val="ListParagraph"/>
        <w:ind w:left="360" w:firstLine="0"/>
        <w:jc w:val="both"/>
      </w:pPr>
    </w:p>
    <w:p w14:paraId="02C42BA4" w14:textId="206EAA9C" w:rsidR="00134467" w:rsidRDefault="007E58E6" w:rsidP="00444ED3">
      <w:pPr>
        <w:pStyle w:val="ListParagraph"/>
        <w:numPr>
          <w:ilvl w:val="0"/>
          <w:numId w:val="5"/>
        </w:numPr>
        <w:ind w:left="360"/>
        <w:jc w:val="both"/>
      </w:pPr>
      <w:r>
        <w:t xml:space="preserve">LNG buyers are sophisticated and will not risk their future LNG supply on first-of-a kind technologies. </w:t>
      </w:r>
      <w:r w:rsidR="00E55A06">
        <w:t xml:space="preserve">According to Magnolia LNG’s website, </w:t>
      </w:r>
      <w:r w:rsidR="00134467">
        <w:t xml:space="preserve">10 </w:t>
      </w:r>
      <w:r w:rsidR="00E55A06">
        <w:t xml:space="preserve">separate </w:t>
      </w:r>
      <w:r w:rsidR="00134467">
        <w:t>independent reviews of the OSMR technology have been completed</w:t>
      </w:r>
      <w:r w:rsidR="00E55A06" w:rsidRPr="00C737E0">
        <w:rPr>
          <w:vertAlign w:val="superscript"/>
        </w:rPr>
        <w:footnoteReference w:id="1"/>
      </w:r>
      <w:r w:rsidR="00E55A06">
        <w:t xml:space="preserve">. To date, not one </w:t>
      </w:r>
      <w:r w:rsidR="00134467">
        <w:t>LNG buyer has sign</w:t>
      </w:r>
      <w:r w:rsidR="008E59CC">
        <w:t>ed</w:t>
      </w:r>
      <w:r w:rsidR="00134467">
        <w:t xml:space="preserve"> a binding LNG contr</w:t>
      </w:r>
      <w:r w:rsidR="00E55A06">
        <w:t xml:space="preserve">act based upon the OSMR technology. </w:t>
      </w:r>
      <w:r w:rsidR="00134467">
        <w:t xml:space="preserve"> </w:t>
      </w:r>
    </w:p>
    <w:p w14:paraId="3ACAD652" w14:textId="77777777" w:rsidR="00134467" w:rsidRDefault="00134467" w:rsidP="00C737E0">
      <w:pPr>
        <w:pStyle w:val="ListParagraph"/>
        <w:ind w:left="360" w:firstLine="0"/>
        <w:jc w:val="both"/>
      </w:pPr>
    </w:p>
    <w:p w14:paraId="128CD3EC" w14:textId="77777777" w:rsidR="00134467" w:rsidRDefault="00134467" w:rsidP="00444ED3">
      <w:pPr>
        <w:pStyle w:val="ListParagraph"/>
        <w:numPr>
          <w:ilvl w:val="0"/>
          <w:numId w:val="5"/>
        </w:numPr>
        <w:ind w:left="360"/>
        <w:jc w:val="both"/>
      </w:pPr>
      <w:r>
        <w:t xml:space="preserve">Using a proven LNG liquefaction technology is the #1 factor LNG buyers consider when signing a long-term binding sales contract. </w:t>
      </w:r>
    </w:p>
    <w:p w14:paraId="3FAABDD5" w14:textId="77777777" w:rsidR="00134467" w:rsidRDefault="00134467" w:rsidP="00C737E0">
      <w:pPr>
        <w:pStyle w:val="ListParagraph"/>
        <w:ind w:left="360" w:firstLine="0"/>
        <w:jc w:val="both"/>
      </w:pPr>
    </w:p>
    <w:p w14:paraId="14415798" w14:textId="37D15A7A" w:rsidR="00134467" w:rsidRDefault="00134467" w:rsidP="00444ED3">
      <w:pPr>
        <w:pStyle w:val="ListParagraph"/>
        <w:numPr>
          <w:ilvl w:val="0"/>
          <w:numId w:val="5"/>
        </w:numPr>
        <w:ind w:left="360"/>
        <w:jc w:val="both"/>
      </w:pPr>
      <w:r>
        <w:t xml:space="preserve">Magnolia LNG and its parent company </w:t>
      </w:r>
      <w:r w:rsidR="008E59CC">
        <w:t xml:space="preserve">(LNG Limited) </w:t>
      </w:r>
      <w:r>
        <w:t xml:space="preserve">have </w:t>
      </w:r>
      <w:r w:rsidR="008E59CC">
        <w:t xml:space="preserve">proposed their OSMR LNG technology on 100% of their proposed projects, and 100% of have </w:t>
      </w:r>
      <w:r>
        <w:t xml:space="preserve">failed </w:t>
      </w:r>
      <w:r w:rsidR="008E59CC">
        <w:t>to sign binding LNG sales contracts</w:t>
      </w:r>
      <w:r w:rsidR="00E55A06" w:rsidRPr="00C737E0">
        <w:rPr>
          <w:vertAlign w:val="superscript"/>
        </w:rPr>
        <w:footnoteReference w:id="2"/>
      </w:r>
      <w:r>
        <w:t xml:space="preserve">. </w:t>
      </w:r>
    </w:p>
    <w:p w14:paraId="29CA1313" w14:textId="77777777" w:rsidR="00134467" w:rsidRDefault="00134467" w:rsidP="00C737E0">
      <w:pPr>
        <w:pStyle w:val="ListParagraph"/>
        <w:ind w:left="360" w:firstLine="0"/>
        <w:jc w:val="both"/>
      </w:pPr>
    </w:p>
    <w:p w14:paraId="484A83DD" w14:textId="31551CC9" w:rsidR="00C737E0" w:rsidRDefault="00134467" w:rsidP="00C737E0">
      <w:pPr>
        <w:pStyle w:val="ListParagraph"/>
        <w:numPr>
          <w:ilvl w:val="0"/>
          <w:numId w:val="5"/>
        </w:numPr>
        <w:ind w:left="360"/>
        <w:jc w:val="both"/>
      </w:pPr>
      <w:r>
        <w:t>Magnolia LNG is located approximately 25 miles from the Gulf of Mexico, which means LNG buyers will have to pay approximately $300MM</w:t>
      </w:r>
      <w:r w:rsidR="00430401">
        <w:t xml:space="preserve"> more</w:t>
      </w:r>
      <w:r w:rsidR="006C09C8">
        <w:t xml:space="preserve"> </w:t>
      </w:r>
      <w:r>
        <w:t xml:space="preserve">for shipping </w:t>
      </w:r>
      <w:r w:rsidR="006C09C8">
        <w:t xml:space="preserve">over the term of their contract </w:t>
      </w:r>
      <w:r>
        <w:t xml:space="preserve">compared to projects </w:t>
      </w:r>
      <w:r w:rsidR="00430401">
        <w:t xml:space="preserve">located </w:t>
      </w:r>
      <w:r>
        <w:t>closer to the Gulf of Mexico</w:t>
      </w:r>
      <w:r w:rsidR="00FF7D0A">
        <w:t xml:space="preserve">. As a comparison, MILNG is only 2 miles from the Gulf of Mexico. </w:t>
      </w:r>
    </w:p>
    <w:p w14:paraId="6DB18575" w14:textId="77777777" w:rsidR="00C737E0" w:rsidRDefault="00C737E0" w:rsidP="00C737E0">
      <w:pPr>
        <w:pStyle w:val="ListParagraph"/>
        <w:ind w:left="360" w:firstLine="0"/>
        <w:jc w:val="both"/>
      </w:pPr>
    </w:p>
    <w:p w14:paraId="4E59C0FB" w14:textId="77777777" w:rsidR="00C737E0" w:rsidRDefault="00D60BB6" w:rsidP="00C737E0">
      <w:pPr>
        <w:pStyle w:val="ListParagraph"/>
        <w:numPr>
          <w:ilvl w:val="0"/>
          <w:numId w:val="5"/>
        </w:numPr>
        <w:ind w:left="360"/>
        <w:jc w:val="both"/>
      </w:pPr>
      <w:r>
        <w:t xml:space="preserve">The </w:t>
      </w:r>
      <w:r w:rsidR="00F628E6">
        <w:t>Magnolia LNG</w:t>
      </w:r>
      <w:r w:rsidR="007C2E31">
        <w:t xml:space="preserve"> project includes </w:t>
      </w:r>
      <w:r w:rsidR="008838AB">
        <w:t xml:space="preserve">20 </w:t>
      </w:r>
      <w:r w:rsidR="00D57582">
        <w:t xml:space="preserve">LNG processing </w:t>
      </w:r>
      <w:r w:rsidR="008838AB">
        <w:t xml:space="preserve">modules to produce </w:t>
      </w:r>
      <w:r w:rsidR="00193686">
        <w:t>eight million tonnes</w:t>
      </w:r>
      <w:r w:rsidR="00D95D41">
        <w:t xml:space="preserve"> of LNG</w:t>
      </w:r>
      <w:r w:rsidR="00C6404A">
        <w:t xml:space="preserve"> per year (MTPA)</w:t>
      </w:r>
      <w:r w:rsidR="005F245F">
        <w:t>. This is</w:t>
      </w:r>
      <w:r w:rsidR="00D57582">
        <w:t xml:space="preserve"> </w:t>
      </w:r>
      <w:r w:rsidR="008838AB">
        <w:t>½ of the capacity of the Monkey Island L</w:t>
      </w:r>
      <w:r w:rsidR="005F245F">
        <w:t xml:space="preserve">NG project. In comparison, </w:t>
      </w:r>
      <w:commentRangeStart w:id="0"/>
      <w:r w:rsidR="003100FC">
        <w:t>MILNG will use 6</w:t>
      </w:r>
      <w:r w:rsidR="00C151B7">
        <w:t xml:space="preserve"> LNG</w:t>
      </w:r>
      <w:r w:rsidR="003100FC">
        <w:t xml:space="preserve"> </w:t>
      </w:r>
      <w:r w:rsidR="00EA6EB3">
        <w:t xml:space="preserve">processing </w:t>
      </w:r>
      <w:r w:rsidR="003100FC">
        <w:t xml:space="preserve">modules to produce double the amount of LNG. </w:t>
      </w:r>
      <w:commentRangeEnd w:id="0"/>
      <w:r w:rsidR="00AF32D2">
        <w:rPr>
          <w:rStyle w:val="CommentReference"/>
        </w:rPr>
        <w:commentReference w:id="0"/>
      </w:r>
    </w:p>
    <w:p w14:paraId="644D312D" w14:textId="77777777" w:rsidR="00C737E0" w:rsidRDefault="00C737E0" w:rsidP="00C737E0">
      <w:pPr>
        <w:pStyle w:val="ListParagraph"/>
        <w:ind w:left="360" w:firstLine="0"/>
        <w:jc w:val="both"/>
      </w:pPr>
    </w:p>
    <w:p w14:paraId="00647CF1" w14:textId="7588CF70" w:rsidR="00C737E0" w:rsidRDefault="0079768C" w:rsidP="00C737E0">
      <w:pPr>
        <w:pStyle w:val="ListParagraph"/>
        <w:numPr>
          <w:ilvl w:val="0"/>
          <w:numId w:val="5"/>
        </w:numPr>
        <w:ind w:left="360"/>
        <w:jc w:val="both"/>
      </w:pPr>
      <w:r>
        <w:t xml:space="preserve">Magnolia LNG is proposing </w:t>
      </w:r>
      <w:r w:rsidR="0009119F">
        <w:t xml:space="preserve">a mid-scale </w:t>
      </w:r>
      <w:r w:rsidR="00E13F88">
        <w:t xml:space="preserve">2 MTPA </w:t>
      </w:r>
      <w:r w:rsidR="0009119F">
        <w:t xml:space="preserve">LNG train configuration compared to MILNG’s </w:t>
      </w:r>
      <w:r w:rsidR="0009119F">
        <w:lastRenderedPageBreak/>
        <w:t xml:space="preserve">large-scale </w:t>
      </w:r>
      <w:r w:rsidR="00A2574D">
        <w:t>5.25 MTPA LNG train configuration</w:t>
      </w:r>
      <w:r w:rsidR="0009119F">
        <w:t xml:space="preserve">. </w:t>
      </w:r>
      <w:r w:rsidR="00747A1C">
        <w:t>When reviewing points 6 &amp; 7, i</w:t>
      </w:r>
      <w:r w:rsidR="004C7618">
        <w:t>t is safe to say the efficiencies of the MI</w:t>
      </w:r>
      <w:r w:rsidR="000340AF">
        <w:t>LNG project are greater than those of the</w:t>
      </w:r>
      <w:r w:rsidR="004C7618">
        <w:t xml:space="preserve"> Magnolia </w:t>
      </w:r>
      <w:r w:rsidR="00D60BB6">
        <w:t xml:space="preserve">LNG </w:t>
      </w:r>
      <w:r w:rsidR="004C7618">
        <w:t>project.</w:t>
      </w:r>
    </w:p>
    <w:p w14:paraId="2A19EB1D" w14:textId="77777777" w:rsidR="00C737E0" w:rsidRDefault="00C737E0" w:rsidP="00C737E0">
      <w:pPr>
        <w:pStyle w:val="ListParagraph"/>
        <w:ind w:left="360" w:firstLine="0"/>
        <w:jc w:val="both"/>
      </w:pPr>
    </w:p>
    <w:p w14:paraId="3F5D8EE7" w14:textId="444771AE" w:rsidR="00370598" w:rsidRDefault="00370598" w:rsidP="00C737E0">
      <w:pPr>
        <w:pStyle w:val="ListParagraph"/>
        <w:numPr>
          <w:ilvl w:val="0"/>
          <w:numId w:val="5"/>
        </w:numPr>
        <w:ind w:left="360"/>
        <w:jc w:val="both"/>
      </w:pPr>
      <w:r>
        <w:t>The Magnolia LNG techn</w:t>
      </w:r>
      <w:r w:rsidR="005A46D2">
        <w:t>ology uses Ammonia, one of the</w:t>
      </w:r>
      <w:r>
        <w:t xml:space="preserve"> most highly toxic gasses, to super cool natural gas</w:t>
      </w:r>
      <w:r w:rsidR="00D60BB6">
        <w:t xml:space="preserve"> to LNG</w:t>
      </w:r>
      <w:r>
        <w:t>. However, using Ammonia to safely super cool natural gas has yet to be proven in an LNG facility and many consider it very</w:t>
      </w:r>
      <w:r w:rsidRPr="00C737E0">
        <w:t xml:space="preserve"> </w:t>
      </w:r>
      <w:r>
        <w:t>dangerous.</w:t>
      </w:r>
    </w:p>
    <w:p w14:paraId="03401434" w14:textId="77777777" w:rsidR="007B3C72" w:rsidRDefault="007B3C72" w:rsidP="00C737E0">
      <w:pPr>
        <w:pStyle w:val="ListParagraph"/>
        <w:ind w:left="360" w:firstLine="0"/>
        <w:jc w:val="both"/>
      </w:pPr>
    </w:p>
    <w:p w14:paraId="4C53D207" w14:textId="20EDF97B" w:rsidR="007B3C72" w:rsidRDefault="007B3C72" w:rsidP="00B926EF">
      <w:pPr>
        <w:jc w:val="both"/>
      </w:pPr>
      <w:r w:rsidRPr="00B926EF">
        <w:rPr>
          <w:b/>
        </w:rPr>
        <w:t>Conclusion:</w:t>
      </w:r>
      <w:r>
        <w:t xml:space="preserve"> Magnolia LNG’s unproven LNG liquefaction technology has been proposed on multiple LNG liquefaction project</w:t>
      </w:r>
      <w:r w:rsidR="008F68CC">
        <w:t>s and 100% of them have failed</w:t>
      </w:r>
      <w:r w:rsidR="00430401">
        <w:t xml:space="preserve"> </w:t>
      </w:r>
      <w:r w:rsidR="00015CE9">
        <w:t xml:space="preserve">to </w:t>
      </w:r>
      <w:r w:rsidR="00430401">
        <w:t>advance to the construction phase</w:t>
      </w:r>
      <w:r w:rsidR="00D60BB6">
        <w:t>. The LNG industry has been u</w:t>
      </w:r>
      <w:r w:rsidR="00430401">
        <w:t xml:space="preserve">nwilling to sign binding </w:t>
      </w:r>
      <w:r w:rsidR="00A63E8E">
        <w:t>L</w:t>
      </w:r>
      <w:r w:rsidR="00430401">
        <w:t>NG contracts based upon the</w:t>
      </w:r>
      <w:r w:rsidR="00D60BB6">
        <w:t>ir</w:t>
      </w:r>
      <w:r w:rsidR="00430401">
        <w:t xml:space="preserve"> </w:t>
      </w:r>
      <w:r w:rsidR="00DC1961">
        <w:t xml:space="preserve">unproven </w:t>
      </w:r>
      <w:r w:rsidR="00430401">
        <w:t>OSMR technology</w:t>
      </w:r>
      <w:r w:rsidR="00847528">
        <w:t xml:space="preserve"> and the associated risks</w:t>
      </w:r>
      <w:r w:rsidR="00430401">
        <w:t xml:space="preserve">. </w:t>
      </w:r>
      <w:r w:rsidR="009C18B5">
        <w:t xml:space="preserve"> Many LNG Buyers have said they don’t have to buy from unproven LNG technologies because there are </w:t>
      </w:r>
      <w:r w:rsidR="00704884">
        <w:t xml:space="preserve">other </w:t>
      </w:r>
      <w:r w:rsidR="009C18B5">
        <w:t xml:space="preserve">projects offering proven and reliable LNG technologies, such as Air Products and Chemicals, Inc. </w:t>
      </w:r>
    </w:p>
    <w:p w14:paraId="29871ACE" w14:textId="444B7543" w:rsidR="000D09AD" w:rsidRDefault="000D09AD" w:rsidP="000D09AD">
      <w:pPr>
        <w:jc w:val="both"/>
      </w:pPr>
    </w:p>
    <w:p w14:paraId="6B81DF14" w14:textId="566591ED" w:rsidR="000D09AD" w:rsidRDefault="000D09AD" w:rsidP="000D09AD">
      <w:pPr>
        <w:jc w:val="both"/>
      </w:pPr>
      <w:r>
        <w:t>See below for additional details…</w:t>
      </w:r>
      <w:bookmarkStart w:id="1" w:name="_GoBack"/>
      <w:bookmarkEnd w:id="1"/>
    </w:p>
    <w:p w14:paraId="7BB618D4" w14:textId="77777777" w:rsidR="00134467" w:rsidRDefault="00134467">
      <w:r>
        <w:br w:type="page"/>
      </w:r>
    </w:p>
    <w:p w14:paraId="13E36A1D" w14:textId="77777777" w:rsidR="00134467" w:rsidRPr="00134467" w:rsidRDefault="00134467" w:rsidP="00134467">
      <w:pPr>
        <w:pStyle w:val="ListParagraph"/>
        <w:spacing w:before="232"/>
        <w:ind w:left="0" w:right="114" w:firstLine="0"/>
        <w:jc w:val="center"/>
        <w:rPr>
          <w:u w:val="single"/>
        </w:rPr>
      </w:pPr>
      <w:r w:rsidRPr="00134467">
        <w:rPr>
          <w:u w:val="single"/>
        </w:rPr>
        <w:lastRenderedPageBreak/>
        <w:t>Additional Details</w:t>
      </w:r>
    </w:p>
    <w:p w14:paraId="166A9FFF" w14:textId="77777777" w:rsidR="008C40F8" w:rsidRDefault="00196F85" w:rsidP="00134467">
      <w:pPr>
        <w:pStyle w:val="ListParagraph"/>
        <w:numPr>
          <w:ilvl w:val="0"/>
          <w:numId w:val="1"/>
        </w:numPr>
        <w:tabs>
          <w:tab w:val="left" w:pos="1181"/>
        </w:tabs>
        <w:spacing w:before="232"/>
        <w:ind w:left="360" w:right="114"/>
        <w:jc w:val="both"/>
      </w:pPr>
      <w:r>
        <w:t>LNG</w:t>
      </w:r>
      <w:r>
        <w:rPr>
          <w:spacing w:val="-10"/>
        </w:rPr>
        <w:t xml:space="preserve"> </w:t>
      </w:r>
      <w:r>
        <w:t>Limited</w:t>
      </w:r>
      <w:r>
        <w:rPr>
          <w:spacing w:val="-14"/>
        </w:rPr>
        <w:t xml:space="preserve"> </w:t>
      </w:r>
      <w:r>
        <w:t>is</w:t>
      </w:r>
      <w:r>
        <w:rPr>
          <w:spacing w:val="-13"/>
        </w:rPr>
        <w:t xml:space="preserve"> </w:t>
      </w:r>
      <w:r>
        <w:t>a</w:t>
      </w:r>
      <w:r>
        <w:rPr>
          <w:spacing w:val="-14"/>
        </w:rPr>
        <w:t xml:space="preserve"> </w:t>
      </w:r>
      <w:r>
        <w:t>publicly</w:t>
      </w:r>
      <w:r>
        <w:rPr>
          <w:spacing w:val="-13"/>
        </w:rPr>
        <w:t xml:space="preserve"> </w:t>
      </w:r>
      <w:r>
        <w:t>traded</w:t>
      </w:r>
      <w:r>
        <w:rPr>
          <w:spacing w:val="-14"/>
        </w:rPr>
        <w:t xml:space="preserve"> </w:t>
      </w:r>
      <w:r>
        <w:t>company</w:t>
      </w:r>
      <w:r>
        <w:rPr>
          <w:spacing w:val="-14"/>
        </w:rPr>
        <w:t xml:space="preserve"> </w:t>
      </w:r>
      <w:r>
        <w:t>based</w:t>
      </w:r>
      <w:r>
        <w:rPr>
          <w:spacing w:val="-14"/>
        </w:rPr>
        <w:t xml:space="preserve"> </w:t>
      </w:r>
      <w:r>
        <w:t>in</w:t>
      </w:r>
      <w:r>
        <w:rPr>
          <w:spacing w:val="-14"/>
        </w:rPr>
        <w:t xml:space="preserve"> </w:t>
      </w:r>
      <w:r>
        <w:t>Perth,</w:t>
      </w:r>
      <w:r>
        <w:rPr>
          <w:spacing w:val="-13"/>
        </w:rPr>
        <w:t xml:space="preserve"> </w:t>
      </w:r>
      <w:r>
        <w:t>Australia,</w:t>
      </w:r>
      <w:r>
        <w:rPr>
          <w:spacing w:val="-13"/>
        </w:rPr>
        <w:t xml:space="preserve"> </w:t>
      </w:r>
      <w:r>
        <w:t>and</w:t>
      </w:r>
      <w:r>
        <w:rPr>
          <w:spacing w:val="-14"/>
        </w:rPr>
        <w:t xml:space="preserve"> </w:t>
      </w:r>
      <w:r>
        <w:t>was</w:t>
      </w:r>
      <w:r>
        <w:rPr>
          <w:spacing w:val="-13"/>
        </w:rPr>
        <w:t xml:space="preserve"> </w:t>
      </w:r>
      <w:r>
        <w:t>founded</w:t>
      </w:r>
      <w:r>
        <w:rPr>
          <w:spacing w:val="-14"/>
        </w:rPr>
        <w:t xml:space="preserve"> </w:t>
      </w:r>
      <w:r>
        <w:t>in</w:t>
      </w:r>
      <w:r>
        <w:rPr>
          <w:spacing w:val="-11"/>
        </w:rPr>
        <w:t xml:space="preserve"> </w:t>
      </w:r>
      <w:r>
        <w:t>2004. LNG Limited claims their own LNG technology offers higher efficiencies than traditional and proven</w:t>
      </w:r>
      <w:r>
        <w:rPr>
          <w:spacing w:val="-15"/>
        </w:rPr>
        <w:t xml:space="preserve"> </w:t>
      </w:r>
      <w:r>
        <w:t>liquefaction</w:t>
      </w:r>
      <w:r>
        <w:rPr>
          <w:spacing w:val="-17"/>
        </w:rPr>
        <w:t xml:space="preserve"> </w:t>
      </w:r>
      <w:r>
        <w:t>technologies,</w:t>
      </w:r>
      <w:r>
        <w:rPr>
          <w:spacing w:val="-16"/>
        </w:rPr>
        <w:t xml:space="preserve"> </w:t>
      </w:r>
      <w:r>
        <w:t>as</w:t>
      </w:r>
      <w:r>
        <w:rPr>
          <w:spacing w:val="-14"/>
        </w:rPr>
        <w:t xml:space="preserve"> </w:t>
      </w:r>
      <w:r>
        <w:t>well</w:t>
      </w:r>
      <w:r>
        <w:rPr>
          <w:spacing w:val="-15"/>
        </w:rPr>
        <w:t xml:space="preserve"> </w:t>
      </w:r>
      <w:r>
        <w:t>as</w:t>
      </w:r>
      <w:r>
        <w:rPr>
          <w:spacing w:val="-14"/>
        </w:rPr>
        <w:t xml:space="preserve"> </w:t>
      </w:r>
      <w:r>
        <w:t>lower</w:t>
      </w:r>
      <w:r>
        <w:rPr>
          <w:spacing w:val="-16"/>
        </w:rPr>
        <w:t xml:space="preserve"> </w:t>
      </w:r>
      <w:r>
        <w:t>development</w:t>
      </w:r>
      <w:r>
        <w:rPr>
          <w:spacing w:val="-13"/>
        </w:rPr>
        <w:t xml:space="preserve"> </w:t>
      </w:r>
      <w:r>
        <w:t>costs</w:t>
      </w:r>
      <w:r>
        <w:rPr>
          <w:spacing w:val="-14"/>
        </w:rPr>
        <w:t xml:space="preserve"> </w:t>
      </w:r>
      <w:r>
        <w:t>and</w:t>
      </w:r>
      <w:r>
        <w:rPr>
          <w:spacing w:val="-17"/>
        </w:rPr>
        <w:t xml:space="preserve"> </w:t>
      </w:r>
      <w:r>
        <w:t>shorter</w:t>
      </w:r>
      <w:r>
        <w:rPr>
          <w:spacing w:val="-14"/>
        </w:rPr>
        <w:t xml:space="preserve"> </w:t>
      </w:r>
      <w:r>
        <w:t>construction timelines. These claims have never been</w:t>
      </w:r>
      <w:r>
        <w:rPr>
          <w:spacing w:val="-14"/>
        </w:rPr>
        <w:t xml:space="preserve"> </w:t>
      </w:r>
      <w:r>
        <w:t>proven.</w:t>
      </w:r>
    </w:p>
    <w:p w14:paraId="1388BBBA" w14:textId="77777777" w:rsidR="008C40F8" w:rsidRDefault="008C40F8" w:rsidP="00134467">
      <w:pPr>
        <w:pStyle w:val="BodyText"/>
        <w:ind w:firstLine="0"/>
        <w:jc w:val="both"/>
      </w:pPr>
    </w:p>
    <w:p w14:paraId="7F9689FC" w14:textId="3675BB82" w:rsidR="008C40F8" w:rsidRDefault="00196F85" w:rsidP="00134467">
      <w:pPr>
        <w:pStyle w:val="ListParagraph"/>
        <w:numPr>
          <w:ilvl w:val="0"/>
          <w:numId w:val="1"/>
        </w:numPr>
        <w:tabs>
          <w:tab w:val="left" w:pos="1181"/>
        </w:tabs>
        <w:ind w:left="360" w:right="118"/>
        <w:jc w:val="both"/>
      </w:pPr>
      <w:r>
        <w:t>Despite proposing multiple projects over the past decade, LNG Limited has yet to bring any project to fruition. The company’s past performance has led to 100% project cancellations, which</w:t>
      </w:r>
      <w:r>
        <w:rPr>
          <w:spacing w:val="-4"/>
        </w:rPr>
        <w:t xml:space="preserve"> </w:t>
      </w:r>
      <w:r>
        <w:t>include</w:t>
      </w:r>
      <w:r>
        <w:rPr>
          <w:spacing w:val="-4"/>
        </w:rPr>
        <w:t xml:space="preserve"> </w:t>
      </w:r>
      <w:r w:rsidR="008C301B">
        <w:rPr>
          <w:spacing w:val="-4"/>
        </w:rPr>
        <w:t xml:space="preserve">projects in </w:t>
      </w:r>
      <w:r>
        <w:t>northwest</w:t>
      </w:r>
      <w:r>
        <w:rPr>
          <w:spacing w:val="-5"/>
        </w:rPr>
        <w:t xml:space="preserve"> </w:t>
      </w:r>
      <w:r>
        <w:t>Australia,</w:t>
      </w:r>
      <w:r>
        <w:rPr>
          <w:spacing w:val="-5"/>
        </w:rPr>
        <w:t xml:space="preserve"> </w:t>
      </w:r>
      <w:r>
        <w:t>Iran,</w:t>
      </w:r>
      <w:r>
        <w:rPr>
          <w:spacing w:val="-5"/>
        </w:rPr>
        <w:t xml:space="preserve"> </w:t>
      </w:r>
      <w:r>
        <w:t>Indonesia</w:t>
      </w:r>
      <w:r>
        <w:rPr>
          <w:spacing w:val="-6"/>
        </w:rPr>
        <w:t xml:space="preserve"> </w:t>
      </w:r>
      <w:r>
        <w:t>and</w:t>
      </w:r>
      <w:r>
        <w:rPr>
          <w:spacing w:val="-4"/>
        </w:rPr>
        <w:t xml:space="preserve"> </w:t>
      </w:r>
      <w:r>
        <w:t>Papua</w:t>
      </w:r>
      <w:r>
        <w:rPr>
          <w:spacing w:val="-4"/>
        </w:rPr>
        <w:t xml:space="preserve"> </w:t>
      </w:r>
      <w:r>
        <w:t>New</w:t>
      </w:r>
      <w:r>
        <w:rPr>
          <w:spacing w:val="-7"/>
        </w:rPr>
        <w:t xml:space="preserve"> </w:t>
      </w:r>
      <w:r>
        <w:t>Guinea.</w:t>
      </w:r>
      <w:r>
        <w:rPr>
          <w:spacing w:val="-5"/>
        </w:rPr>
        <w:t xml:space="preserve"> </w:t>
      </w:r>
      <w:r>
        <w:t>LNG</w:t>
      </w:r>
      <w:r>
        <w:rPr>
          <w:spacing w:val="-3"/>
        </w:rPr>
        <w:t xml:space="preserve"> </w:t>
      </w:r>
      <w:r>
        <w:t>Limited</w:t>
      </w:r>
      <w:r>
        <w:rPr>
          <w:spacing w:val="-4"/>
        </w:rPr>
        <w:t xml:space="preserve"> </w:t>
      </w:r>
      <w:r>
        <w:t>was unable to complete any of the above projects and was unable to secure any LNG Buyers to support these projects on a technical or financial</w:t>
      </w:r>
      <w:r>
        <w:rPr>
          <w:spacing w:val="-21"/>
        </w:rPr>
        <w:t xml:space="preserve"> </w:t>
      </w:r>
      <w:r>
        <w:t>level</w:t>
      </w:r>
      <w:r w:rsidR="00E55A06">
        <w:rPr>
          <w:rStyle w:val="FootnoteReference"/>
        </w:rPr>
        <w:t>2</w:t>
      </w:r>
      <w:r>
        <w:t>.</w:t>
      </w:r>
    </w:p>
    <w:p w14:paraId="4D388A52" w14:textId="77777777" w:rsidR="008C40F8" w:rsidRDefault="008C40F8" w:rsidP="00134467">
      <w:pPr>
        <w:pStyle w:val="BodyText"/>
        <w:ind w:firstLine="0"/>
        <w:jc w:val="both"/>
      </w:pPr>
    </w:p>
    <w:p w14:paraId="0D1F5CB6" w14:textId="0D265674" w:rsidR="008C40F8" w:rsidRDefault="00196F85" w:rsidP="00134467">
      <w:pPr>
        <w:pStyle w:val="ListParagraph"/>
        <w:numPr>
          <w:ilvl w:val="0"/>
          <w:numId w:val="1"/>
        </w:numPr>
        <w:tabs>
          <w:tab w:val="left" w:pos="1181"/>
        </w:tabs>
        <w:ind w:left="360" w:right="121"/>
        <w:jc w:val="both"/>
      </w:pPr>
      <w:r>
        <w:t>The company has now shifted its focus to Magnolia LNG, which it views as it</w:t>
      </w:r>
      <w:r w:rsidR="00933265">
        <w:t>s</w:t>
      </w:r>
      <w:r>
        <w:t xml:space="preserve"> flagship project</w:t>
      </w:r>
      <w:r w:rsidR="00750F35">
        <w:t>,</w:t>
      </w:r>
      <w:r>
        <w:t xml:space="preserve"> to promote its own LNG liquefaction technology, OSMR. Since that change, the stock has plummeted and now trades at</w:t>
      </w:r>
      <w:r>
        <w:rPr>
          <w:spacing w:val="-8"/>
        </w:rPr>
        <w:t xml:space="preserve"> </w:t>
      </w:r>
      <w:r>
        <w:t>$0.34</w:t>
      </w:r>
      <w:r w:rsidR="00E76591">
        <w:rPr>
          <w:rStyle w:val="FootnoteReference"/>
        </w:rPr>
        <w:t>2</w:t>
      </w:r>
      <w:r>
        <w:t>.</w:t>
      </w:r>
    </w:p>
    <w:p w14:paraId="07345B55" w14:textId="77777777" w:rsidR="008C40F8" w:rsidRDefault="008C40F8" w:rsidP="00134467">
      <w:pPr>
        <w:pStyle w:val="BodyText"/>
        <w:ind w:firstLine="0"/>
        <w:jc w:val="both"/>
      </w:pPr>
    </w:p>
    <w:p w14:paraId="7EA07B9B" w14:textId="77777777" w:rsidR="008C40F8" w:rsidRDefault="00196F85" w:rsidP="00134467">
      <w:pPr>
        <w:pStyle w:val="ListParagraph"/>
        <w:numPr>
          <w:ilvl w:val="0"/>
          <w:numId w:val="1"/>
        </w:numPr>
        <w:tabs>
          <w:tab w:val="left" w:pos="1181"/>
        </w:tabs>
        <w:ind w:left="360" w:right="151"/>
        <w:jc w:val="both"/>
      </w:pPr>
      <w:r>
        <w:t>Magnolia LNG’s OSMR liquefaction technology has never been built</w:t>
      </w:r>
      <w:r w:rsidR="00E55A06">
        <w:t>.</w:t>
      </w:r>
      <w:r>
        <w:rPr>
          <w:spacing w:val="-6"/>
        </w:rPr>
        <w:t xml:space="preserve"> </w:t>
      </w:r>
      <w:r>
        <w:t>Therefore,</w:t>
      </w:r>
      <w:r>
        <w:rPr>
          <w:spacing w:val="-6"/>
        </w:rPr>
        <w:t xml:space="preserve"> </w:t>
      </w:r>
      <w:r>
        <w:t>any</w:t>
      </w:r>
      <w:r>
        <w:rPr>
          <w:spacing w:val="-7"/>
        </w:rPr>
        <w:t xml:space="preserve"> </w:t>
      </w:r>
      <w:r>
        <w:t>“guarantees</w:t>
      </w:r>
      <w:r>
        <w:rPr>
          <w:spacing w:val="-8"/>
        </w:rPr>
        <w:t xml:space="preserve"> </w:t>
      </w:r>
      <w:r>
        <w:t>or</w:t>
      </w:r>
      <w:r>
        <w:rPr>
          <w:spacing w:val="-4"/>
        </w:rPr>
        <w:t xml:space="preserve"> </w:t>
      </w:r>
      <w:r>
        <w:t>promises”</w:t>
      </w:r>
      <w:r>
        <w:rPr>
          <w:spacing w:val="-4"/>
        </w:rPr>
        <w:t xml:space="preserve"> </w:t>
      </w:r>
      <w:r>
        <w:t>are</w:t>
      </w:r>
      <w:r>
        <w:rPr>
          <w:spacing w:val="-5"/>
        </w:rPr>
        <w:t xml:space="preserve"> </w:t>
      </w:r>
      <w:r>
        <w:t>highly</w:t>
      </w:r>
      <w:r>
        <w:rPr>
          <w:spacing w:val="-7"/>
        </w:rPr>
        <w:t xml:space="preserve"> </w:t>
      </w:r>
      <w:r>
        <w:t>speculative.</w:t>
      </w:r>
    </w:p>
    <w:p w14:paraId="6DB2DE32" w14:textId="77777777" w:rsidR="008C40F8" w:rsidRDefault="008C40F8" w:rsidP="00134467">
      <w:pPr>
        <w:pStyle w:val="BodyText"/>
        <w:spacing w:before="9"/>
        <w:ind w:firstLine="0"/>
        <w:jc w:val="both"/>
        <w:rPr>
          <w:sz w:val="21"/>
        </w:rPr>
      </w:pPr>
    </w:p>
    <w:p w14:paraId="02030BCB" w14:textId="77777777" w:rsidR="008C40F8" w:rsidRDefault="00196F85" w:rsidP="00134467">
      <w:pPr>
        <w:pStyle w:val="ListParagraph"/>
        <w:numPr>
          <w:ilvl w:val="0"/>
          <w:numId w:val="1"/>
        </w:numPr>
        <w:tabs>
          <w:tab w:val="left" w:pos="1181"/>
        </w:tabs>
        <w:ind w:left="360" w:right="285"/>
        <w:jc w:val="both"/>
      </w:pPr>
      <w:r>
        <w:t>Despite Magnolia LNG’s claims, calculations by respected LNG engineers estimate Magnolia LNG’s OSMR liquefaction technology will actually use 18% more power and 54% more fuel gas per tonne of LNG when compared to Air Products and Chemical’s (APCI) LNG proven liquefaction</w:t>
      </w:r>
      <w:r>
        <w:rPr>
          <w:spacing w:val="-12"/>
        </w:rPr>
        <w:t xml:space="preserve"> </w:t>
      </w:r>
      <w:r>
        <w:t>technology.</w:t>
      </w:r>
    </w:p>
    <w:p w14:paraId="49E82650" w14:textId="77777777" w:rsidR="008C40F8" w:rsidRDefault="008C40F8" w:rsidP="00134467">
      <w:pPr>
        <w:pStyle w:val="BodyText"/>
        <w:spacing w:before="9"/>
        <w:ind w:firstLine="0"/>
        <w:jc w:val="both"/>
        <w:rPr>
          <w:sz w:val="21"/>
        </w:rPr>
      </w:pPr>
    </w:p>
    <w:p w14:paraId="6A12B469" w14:textId="4CB00566" w:rsidR="008C40F8" w:rsidRDefault="00196F85" w:rsidP="00134467">
      <w:pPr>
        <w:pStyle w:val="ListParagraph"/>
        <w:numPr>
          <w:ilvl w:val="0"/>
          <w:numId w:val="1"/>
        </w:numPr>
        <w:tabs>
          <w:tab w:val="left" w:pos="1181"/>
        </w:tabs>
        <w:ind w:left="360" w:right="705"/>
        <w:jc w:val="both"/>
      </w:pPr>
      <w:r>
        <w:t xml:space="preserve">The APCI LNG liquefaction technology </w:t>
      </w:r>
      <w:r w:rsidR="0001225C">
        <w:t xml:space="preserve">being used by MILNG </w:t>
      </w:r>
      <w:r>
        <w:t xml:space="preserve">represents 75% of the world’s </w:t>
      </w:r>
      <w:r w:rsidR="00444ED3">
        <w:t xml:space="preserve">LNG </w:t>
      </w:r>
      <w:r w:rsidR="00444ED3" w:rsidRPr="00444ED3">
        <w:t>liquefaction</w:t>
      </w:r>
      <w:r w:rsidR="00444ED3">
        <w:t xml:space="preserve"> </w:t>
      </w:r>
      <w:r>
        <w:t>technology. Magnolia’s OSMR technology represents</w:t>
      </w:r>
      <w:r>
        <w:rPr>
          <w:spacing w:val="-31"/>
        </w:rPr>
        <w:t xml:space="preserve"> </w:t>
      </w:r>
      <w:r>
        <w:t>0%.</w:t>
      </w:r>
    </w:p>
    <w:p w14:paraId="6AA01FD2" w14:textId="77777777" w:rsidR="008C40F8" w:rsidRDefault="008C40F8" w:rsidP="00134467">
      <w:pPr>
        <w:pStyle w:val="BodyText"/>
        <w:spacing w:before="11"/>
        <w:ind w:firstLine="0"/>
        <w:jc w:val="both"/>
        <w:rPr>
          <w:sz w:val="21"/>
        </w:rPr>
      </w:pPr>
    </w:p>
    <w:p w14:paraId="1BF1A8E9" w14:textId="77777777" w:rsidR="008C40F8" w:rsidRDefault="00196F85" w:rsidP="00134467">
      <w:pPr>
        <w:pStyle w:val="ListParagraph"/>
        <w:numPr>
          <w:ilvl w:val="0"/>
          <w:numId w:val="1"/>
        </w:numPr>
        <w:tabs>
          <w:tab w:val="left" w:pos="1181"/>
        </w:tabs>
        <w:ind w:left="360" w:right="259"/>
        <w:jc w:val="both"/>
      </w:pPr>
      <w:r>
        <w:t>In addition, Magnolia LNG is using a mid-scale LNG train (2 MTPA) design. To produce the same amount of LNG as the larger LNG Trains, Magnolia LNG will require a considerable amount of additional equipment, which drastically increases the difficultly and costs associated with operations and maintenance, installation, and construction of the</w:t>
      </w:r>
      <w:r>
        <w:rPr>
          <w:spacing w:val="-26"/>
        </w:rPr>
        <w:t xml:space="preserve"> </w:t>
      </w:r>
      <w:r>
        <w:t>facility.</w:t>
      </w:r>
    </w:p>
    <w:p w14:paraId="20E9C285" w14:textId="77777777" w:rsidR="008C40F8" w:rsidRDefault="008C40F8" w:rsidP="00134467">
      <w:pPr>
        <w:pStyle w:val="BodyText"/>
        <w:ind w:firstLine="0"/>
        <w:jc w:val="both"/>
      </w:pPr>
    </w:p>
    <w:p w14:paraId="42D833EB" w14:textId="77777777" w:rsidR="008C40F8" w:rsidRDefault="00196F85" w:rsidP="00134467">
      <w:pPr>
        <w:pStyle w:val="ListParagraph"/>
        <w:numPr>
          <w:ilvl w:val="0"/>
          <w:numId w:val="1"/>
        </w:numPr>
        <w:tabs>
          <w:tab w:val="left" w:pos="1181"/>
        </w:tabs>
        <w:ind w:left="360" w:right="360"/>
        <w:jc w:val="both"/>
      </w:pPr>
      <w:r>
        <w:t>Due to the high equipment count associated with mid-scale LNG trains, the Magnolia LNG project will have increased civil construction costs (i.e. piling, foundations,</w:t>
      </w:r>
      <w:r>
        <w:rPr>
          <w:spacing w:val="-26"/>
        </w:rPr>
        <w:t xml:space="preserve"> </w:t>
      </w:r>
      <w:r>
        <w:t>concrete).</w:t>
      </w:r>
    </w:p>
    <w:p w14:paraId="7B4CA2C6" w14:textId="77777777" w:rsidR="008C40F8" w:rsidRDefault="008C40F8" w:rsidP="00134467">
      <w:pPr>
        <w:pStyle w:val="BodyText"/>
        <w:spacing w:before="9"/>
        <w:ind w:firstLine="0"/>
        <w:jc w:val="both"/>
        <w:rPr>
          <w:sz w:val="17"/>
        </w:rPr>
      </w:pPr>
    </w:p>
    <w:p w14:paraId="460D6F0E" w14:textId="02E43C1E" w:rsidR="008C40F8" w:rsidRDefault="00196F85" w:rsidP="00134467">
      <w:pPr>
        <w:pStyle w:val="ListParagraph"/>
        <w:numPr>
          <w:ilvl w:val="0"/>
          <w:numId w:val="1"/>
        </w:numPr>
        <w:tabs>
          <w:tab w:val="left" w:pos="461"/>
        </w:tabs>
        <w:spacing w:before="93"/>
        <w:ind w:left="360" w:right="111"/>
        <w:jc w:val="both"/>
      </w:pPr>
      <w:r>
        <w:t>Magnolia LNG (LNG Limited) has tried desperately to convince LNG buyers their technology will produce LNG. According to their website, the following third-party companies have “independently evaluated” their OSMR LNG liquefaction technology. Even though these evalu</w:t>
      </w:r>
      <w:r w:rsidR="00CE0F59">
        <w:t xml:space="preserve">ations have been completed, </w:t>
      </w:r>
      <w:r>
        <w:t>LNG Buyers globally</w:t>
      </w:r>
      <w:r w:rsidR="00CE0F59">
        <w:t xml:space="preserve"> have yet to sign a binding </w:t>
      </w:r>
      <w:r>
        <w:t xml:space="preserve">long-term </w:t>
      </w:r>
      <w:r w:rsidR="00CE0F59">
        <w:t xml:space="preserve">LNG </w:t>
      </w:r>
      <w:r>
        <w:t>sales contract based upon the OSMR LNG liquefaction</w:t>
      </w:r>
      <w:r>
        <w:rPr>
          <w:spacing w:val="-22"/>
        </w:rPr>
        <w:t xml:space="preserve"> </w:t>
      </w:r>
      <w:r>
        <w:t>technology</w:t>
      </w:r>
      <w:r w:rsidR="00E55A06">
        <w:rPr>
          <w:rStyle w:val="FootnoteReference"/>
        </w:rPr>
        <w:t>1</w:t>
      </w:r>
      <w:r>
        <w:t>.</w:t>
      </w:r>
    </w:p>
    <w:p w14:paraId="0C6A3FEF" w14:textId="77777777" w:rsidR="008C40F8" w:rsidRDefault="008C40F8" w:rsidP="00134467">
      <w:pPr>
        <w:pStyle w:val="BodyText"/>
        <w:spacing w:before="8"/>
        <w:ind w:firstLine="0"/>
        <w:jc w:val="both"/>
        <w:rPr>
          <w:sz w:val="21"/>
        </w:rPr>
      </w:pPr>
    </w:p>
    <w:p w14:paraId="6323711D" w14:textId="77777777" w:rsidR="008C40F8" w:rsidRDefault="00196F85" w:rsidP="00134467">
      <w:pPr>
        <w:pStyle w:val="ListParagraph"/>
        <w:numPr>
          <w:ilvl w:val="1"/>
          <w:numId w:val="1"/>
        </w:numPr>
        <w:tabs>
          <w:tab w:val="left" w:pos="1181"/>
        </w:tabs>
        <w:spacing w:before="1"/>
        <w:ind w:left="1080"/>
        <w:jc w:val="both"/>
      </w:pPr>
      <w:r>
        <w:t>CH-IV Evaluation of OSMR LNG</w:t>
      </w:r>
      <w:r>
        <w:rPr>
          <w:spacing w:val="-11"/>
        </w:rPr>
        <w:t xml:space="preserve"> </w:t>
      </w:r>
      <w:r>
        <w:t>Process</w:t>
      </w:r>
    </w:p>
    <w:p w14:paraId="61B755B3" w14:textId="77777777" w:rsidR="008C40F8" w:rsidRDefault="00196F85" w:rsidP="00134467">
      <w:pPr>
        <w:pStyle w:val="ListParagraph"/>
        <w:numPr>
          <w:ilvl w:val="1"/>
          <w:numId w:val="1"/>
        </w:numPr>
        <w:tabs>
          <w:tab w:val="left" w:pos="1181"/>
        </w:tabs>
        <w:spacing w:before="1" w:line="252" w:lineRule="exact"/>
        <w:ind w:left="1080"/>
        <w:jc w:val="both"/>
      </w:pPr>
      <w:r>
        <w:t>Merlin Review - Magnolia</w:t>
      </w:r>
      <w:r>
        <w:rPr>
          <w:spacing w:val="-6"/>
        </w:rPr>
        <w:t xml:space="preserve"> </w:t>
      </w:r>
      <w:r>
        <w:t>LNG</w:t>
      </w:r>
    </w:p>
    <w:p w14:paraId="515FB102" w14:textId="77777777" w:rsidR="008C40F8" w:rsidRDefault="00196F85" w:rsidP="00134467">
      <w:pPr>
        <w:pStyle w:val="ListParagraph"/>
        <w:numPr>
          <w:ilvl w:val="1"/>
          <w:numId w:val="1"/>
        </w:numPr>
        <w:tabs>
          <w:tab w:val="left" w:pos="1181"/>
        </w:tabs>
        <w:spacing w:line="252" w:lineRule="exact"/>
        <w:ind w:left="1080"/>
        <w:jc w:val="both"/>
      </w:pPr>
      <w:r>
        <w:t>Foster Wheeler - Gladstone LNG OSMR Study</w:t>
      </w:r>
      <w:r>
        <w:rPr>
          <w:spacing w:val="-12"/>
        </w:rPr>
        <w:t xml:space="preserve"> </w:t>
      </w:r>
      <w:r>
        <w:t>Report</w:t>
      </w:r>
    </w:p>
    <w:p w14:paraId="5F1672AA" w14:textId="77777777" w:rsidR="008C40F8" w:rsidRDefault="00196F85" w:rsidP="00134467">
      <w:pPr>
        <w:pStyle w:val="ListParagraph"/>
        <w:numPr>
          <w:ilvl w:val="1"/>
          <w:numId w:val="1"/>
        </w:numPr>
        <w:tabs>
          <w:tab w:val="left" w:pos="1181"/>
        </w:tabs>
        <w:spacing w:before="2" w:line="252" w:lineRule="exact"/>
        <w:ind w:left="1080"/>
        <w:jc w:val="both"/>
      </w:pPr>
      <w:r>
        <w:t>Arrow Energy Interim Review of Fisherman’s Landing LNG</w:t>
      </w:r>
      <w:r>
        <w:rPr>
          <w:spacing w:val="-33"/>
        </w:rPr>
        <w:t xml:space="preserve"> </w:t>
      </w:r>
      <w:r>
        <w:t>Plant</w:t>
      </w:r>
    </w:p>
    <w:p w14:paraId="7B39D4E5" w14:textId="77777777" w:rsidR="008C40F8" w:rsidRDefault="00196F85" w:rsidP="00134467">
      <w:pPr>
        <w:pStyle w:val="ListParagraph"/>
        <w:numPr>
          <w:ilvl w:val="1"/>
          <w:numId w:val="1"/>
        </w:numPr>
        <w:tabs>
          <w:tab w:val="left" w:pos="1181"/>
        </w:tabs>
        <w:spacing w:line="252" w:lineRule="exact"/>
        <w:ind w:left="1080"/>
        <w:jc w:val="both"/>
      </w:pPr>
      <w:r>
        <w:t>Technical Review Group Gladstone LNG</w:t>
      </w:r>
      <w:r>
        <w:rPr>
          <w:spacing w:val="-14"/>
        </w:rPr>
        <w:t xml:space="preserve"> </w:t>
      </w:r>
      <w:r>
        <w:t>Project</w:t>
      </w:r>
    </w:p>
    <w:p w14:paraId="74A96008" w14:textId="77777777" w:rsidR="008C40F8" w:rsidRDefault="00196F85" w:rsidP="00134467">
      <w:pPr>
        <w:pStyle w:val="ListParagraph"/>
        <w:numPr>
          <w:ilvl w:val="1"/>
          <w:numId w:val="1"/>
        </w:numPr>
        <w:tabs>
          <w:tab w:val="left" w:pos="1180"/>
          <w:tab w:val="left" w:pos="1181"/>
        </w:tabs>
        <w:spacing w:line="252" w:lineRule="exact"/>
        <w:ind w:left="1080"/>
        <w:jc w:val="both"/>
      </w:pPr>
      <w:r>
        <w:t>SKE&amp;C Evaluation of OSMR Process for</w:t>
      </w:r>
      <w:r>
        <w:rPr>
          <w:spacing w:val="-16"/>
        </w:rPr>
        <w:t xml:space="preserve"> </w:t>
      </w:r>
      <w:r>
        <w:t>Gladstone</w:t>
      </w:r>
    </w:p>
    <w:p w14:paraId="20D60313" w14:textId="77777777" w:rsidR="008C40F8" w:rsidRDefault="00196F85" w:rsidP="00134467">
      <w:pPr>
        <w:pStyle w:val="ListParagraph"/>
        <w:numPr>
          <w:ilvl w:val="1"/>
          <w:numId w:val="1"/>
        </w:numPr>
        <w:tabs>
          <w:tab w:val="left" w:pos="1181"/>
        </w:tabs>
        <w:spacing w:before="2" w:line="252" w:lineRule="exact"/>
        <w:ind w:left="1080"/>
        <w:jc w:val="both"/>
      </w:pPr>
      <w:r>
        <w:t>QRA for LNG Plant, Storage and</w:t>
      </w:r>
      <w:r>
        <w:rPr>
          <w:spacing w:val="-12"/>
        </w:rPr>
        <w:t xml:space="preserve"> </w:t>
      </w:r>
      <w:r>
        <w:t>Loading</w:t>
      </w:r>
    </w:p>
    <w:p w14:paraId="4D40C698" w14:textId="77777777" w:rsidR="008C40F8" w:rsidRDefault="00196F85" w:rsidP="00134467">
      <w:pPr>
        <w:pStyle w:val="ListParagraph"/>
        <w:numPr>
          <w:ilvl w:val="1"/>
          <w:numId w:val="1"/>
        </w:numPr>
        <w:tabs>
          <w:tab w:val="left" w:pos="1181"/>
        </w:tabs>
        <w:spacing w:line="252" w:lineRule="exact"/>
        <w:ind w:left="1080"/>
        <w:jc w:val="both"/>
      </w:pPr>
      <w:r>
        <w:t>Evaluation Report of LNGL's OSMR®Process by I.</w:t>
      </w:r>
      <w:r>
        <w:rPr>
          <w:spacing w:val="-13"/>
        </w:rPr>
        <w:t xml:space="preserve"> </w:t>
      </w:r>
      <w:r>
        <w:t>Aoki</w:t>
      </w:r>
    </w:p>
    <w:p w14:paraId="490F9520" w14:textId="77777777" w:rsidR="008C40F8" w:rsidRDefault="00196F85" w:rsidP="00134467">
      <w:pPr>
        <w:pStyle w:val="ListParagraph"/>
        <w:numPr>
          <w:ilvl w:val="1"/>
          <w:numId w:val="1"/>
        </w:numPr>
        <w:tabs>
          <w:tab w:val="left" w:pos="1180"/>
          <w:tab w:val="left" w:pos="1181"/>
        </w:tabs>
        <w:spacing w:before="1" w:line="252" w:lineRule="exact"/>
        <w:ind w:left="1080"/>
        <w:jc w:val="both"/>
      </w:pPr>
      <w:r>
        <w:t>OSMR Evaluation by</w:t>
      </w:r>
      <w:r>
        <w:rPr>
          <w:spacing w:val="-10"/>
        </w:rPr>
        <w:t xml:space="preserve"> </w:t>
      </w:r>
      <w:r>
        <w:t>WorleyParsons</w:t>
      </w:r>
    </w:p>
    <w:p w14:paraId="75D8D9A5" w14:textId="77777777" w:rsidR="008C40F8" w:rsidRDefault="00196F85" w:rsidP="00134467">
      <w:pPr>
        <w:pStyle w:val="ListParagraph"/>
        <w:numPr>
          <w:ilvl w:val="1"/>
          <w:numId w:val="1"/>
        </w:numPr>
        <w:tabs>
          <w:tab w:val="left" w:pos="1180"/>
          <w:tab w:val="left" w:pos="1181"/>
        </w:tabs>
        <w:spacing w:line="252" w:lineRule="exact"/>
        <w:ind w:left="1080"/>
        <w:jc w:val="both"/>
      </w:pPr>
      <w:r>
        <w:t>OSMR Evaluation by</w:t>
      </w:r>
      <w:r>
        <w:rPr>
          <w:spacing w:val="-8"/>
        </w:rPr>
        <w:t xml:space="preserve"> </w:t>
      </w:r>
      <w:r>
        <w:t>SKE&amp;C</w:t>
      </w:r>
    </w:p>
    <w:p w14:paraId="1B2273CC" w14:textId="77777777" w:rsidR="00E55A06" w:rsidRDefault="00E55A06" w:rsidP="00E55A06">
      <w:pPr>
        <w:tabs>
          <w:tab w:val="left" w:pos="1180"/>
          <w:tab w:val="left" w:pos="1181"/>
        </w:tabs>
        <w:spacing w:line="252" w:lineRule="exact"/>
      </w:pPr>
    </w:p>
    <w:p w14:paraId="13C11F78" w14:textId="77777777" w:rsidR="00E55A06" w:rsidRDefault="00E55A06" w:rsidP="00E55A06">
      <w:pPr>
        <w:tabs>
          <w:tab w:val="left" w:pos="1180"/>
          <w:tab w:val="left" w:pos="1181"/>
        </w:tabs>
        <w:spacing w:line="252" w:lineRule="exact"/>
      </w:pPr>
    </w:p>
    <w:p w14:paraId="72E10792" w14:textId="77777777" w:rsidR="008C40F8" w:rsidRDefault="008C40F8" w:rsidP="00134467">
      <w:pPr>
        <w:pStyle w:val="BodyText"/>
        <w:spacing w:before="1"/>
        <w:ind w:firstLine="0"/>
        <w:jc w:val="both"/>
      </w:pPr>
    </w:p>
    <w:p w14:paraId="3DEC6918" w14:textId="77777777" w:rsidR="008C40F8" w:rsidRDefault="00196F85" w:rsidP="00134467">
      <w:pPr>
        <w:pStyle w:val="ListParagraph"/>
        <w:numPr>
          <w:ilvl w:val="0"/>
          <w:numId w:val="1"/>
        </w:numPr>
        <w:tabs>
          <w:tab w:val="left" w:pos="461"/>
        </w:tabs>
        <w:ind w:left="360" w:right="287"/>
        <w:jc w:val="both"/>
      </w:pPr>
      <w:r>
        <w:lastRenderedPageBreak/>
        <w:t>Despite the fact that Magnolia LNG is completely permitted by the U.S. Government, the project is unable to attract LNG Buyers globally. Typical LNG Buyers are very educated</w:t>
      </w:r>
      <w:r>
        <w:rPr>
          <w:spacing w:val="-23"/>
        </w:rPr>
        <w:t xml:space="preserve"> </w:t>
      </w:r>
      <w:r>
        <w:t>on LNG technologies and avoid “first-of-a-kind” technology</w:t>
      </w:r>
      <w:r>
        <w:rPr>
          <w:spacing w:val="-35"/>
        </w:rPr>
        <w:t xml:space="preserve"> </w:t>
      </w:r>
      <w:r>
        <w:t>risks.</w:t>
      </w:r>
    </w:p>
    <w:p w14:paraId="31889DB4" w14:textId="77777777" w:rsidR="008C40F8" w:rsidRDefault="008C40F8" w:rsidP="00134467">
      <w:pPr>
        <w:pStyle w:val="BodyText"/>
        <w:ind w:firstLine="0"/>
        <w:jc w:val="both"/>
      </w:pPr>
    </w:p>
    <w:p w14:paraId="6116D004" w14:textId="77777777" w:rsidR="008C40F8" w:rsidRDefault="00196F85" w:rsidP="00134467">
      <w:pPr>
        <w:pStyle w:val="ListParagraph"/>
        <w:numPr>
          <w:ilvl w:val="0"/>
          <w:numId w:val="1"/>
        </w:numPr>
        <w:tabs>
          <w:tab w:val="left" w:pos="461"/>
        </w:tabs>
        <w:ind w:left="360" w:right="162"/>
        <w:jc w:val="both"/>
      </w:pPr>
      <w:r>
        <w:t>The Magnolia LNG technology uses Ammonia, one of those most highly toxic gasses, to super cool natural gas. However, using Ammonia to safely super cool natural gas has yet to be proven in an LNG facility and many consider it very</w:t>
      </w:r>
      <w:r>
        <w:rPr>
          <w:spacing w:val="-17"/>
        </w:rPr>
        <w:t xml:space="preserve"> </w:t>
      </w:r>
      <w:r>
        <w:t>dangerous.</w:t>
      </w:r>
    </w:p>
    <w:p w14:paraId="43370A30" w14:textId="77777777" w:rsidR="008C40F8" w:rsidRDefault="008C40F8" w:rsidP="00134467">
      <w:pPr>
        <w:pStyle w:val="BodyText"/>
        <w:ind w:firstLine="0"/>
        <w:jc w:val="both"/>
      </w:pPr>
    </w:p>
    <w:p w14:paraId="318E9A05" w14:textId="77777777" w:rsidR="008C40F8" w:rsidRDefault="00196F85" w:rsidP="00134467">
      <w:pPr>
        <w:pStyle w:val="ListParagraph"/>
        <w:numPr>
          <w:ilvl w:val="0"/>
          <w:numId w:val="1"/>
        </w:numPr>
        <w:tabs>
          <w:tab w:val="left" w:pos="461"/>
        </w:tabs>
        <w:ind w:left="360" w:right="304"/>
        <w:jc w:val="both"/>
      </w:pPr>
      <w:r>
        <w:t>Ammonia gas in the presence of moisture, such as high relative humidity that is present in southern Louisiana, can form vapors that are heavier than air. In the event of a leak, these vapors may spread to areas with poor airflow where people may become</w:t>
      </w:r>
      <w:r>
        <w:rPr>
          <w:spacing w:val="-21"/>
        </w:rPr>
        <w:t xml:space="preserve"> </w:t>
      </w:r>
      <w:r>
        <w:t>exposed.</w:t>
      </w:r>
    </w:p>
    <w:p w14:paraId="46B78FB4" w14:textId="77777777" w:rsidR="008C40F8" w:rsidRDefault="008C40F8" w:rsidP="00134467">
      <w:pPr>
        <w:pStyle w:val="BodyText"/>
        <w:ind w:firstLine="0"/>
        <w:jc w:val="both"/>
      </w:pPr>
    </w:p>
    <w:p w14:paraId="0B10B6B9" w14:textId="77777777" w:rsidR="008C40F8" w:rsidRDefault="00196F85" w:rsidP="00134467">
      <w:pPr>
        <w:pStyle w:val="ListParagraph"/>
        <w:numPr>
          <w:ilvl w:val="0"/>
          <w:numId w:val="1"/>
        </w:numPr>
        <w:tabs>
          <w:tab w:val="left" w:pos="461"/>
        </w:tabs>
        <w:ind w:left="360" w:right="967"/>
        <w:jc w:val="both"/>
      </w:pPr>
      <w:r>
        <w:t>Ammonia is highly toxic to humans, and a small concentration in the bloodstream is associated with coma and</w:t>
      </w:r>
      <w:r>
        <w:rPr>
          <w:spacing w:val="-10"/>
        </w:rPr>
        <w:t xml:space="preserve"> </w:t>
      </w:r>
      <w:r>
        <w:t>convulsions.</w:t>
      </w:r>
    </w:p>
    <w:p w14:paraId="1B3E91E1" w14:textId="77777777" w:rsidR="008C40F8" w:rsidRDefault="008C40F8" w:rsidP="00134467">
      <w:pPr>
        <w:pStyle w:val="BodyText"/>
        <w:ind w:firstLine="0"/>
        <w:jc w:val="both"/>
      </w:pPr>
    </w:p>
    <w:p w14:paraId="4A6F20D5" w14:textId="77777777" w:rsidR="008C40F8" w:rsidRDefault="00196F85" w:rsidP="00134467">
      <w:pPr>
        <w:pStyle w:val="ListParagraph"/>
        <w:numPr>
          <w:ilvl w:val="0"/>
          <w:numId w:val="1"/>
        </w:numPr>
        <w:tabs>
          <w:tab w:val="left" w:pos="461"/>
        </w:tabs>
        <w:ind w:left="360" w:right="248"/>
        <w:jc w:val="both"/>
      </w:pPr>
      <w:r>
        <w:t>Despite Magnolia LNG’s low-cost claims, it is believed among LNG industry experts that if the OSMR process is successful, it will be 38% or more expensive than projects in the Gulf of Mexico that use the APCI technology (on a like-for-like comparison). Unlike the industry proven APCI technology, the challenge with Magnolia’s OSMR process is that it has never been utilized in an LNG facility, therefore making it’s impossible to know what the actual results will</w:t>
      </w:r>
      <w:r>
        <w:rPr>
          <w:spacing w:val="-7"/>
        </w:rPr>
        <w:t xml:space="preserve"> </w:t>
      </w:r>
      <w:r>
        <w:t>be.</w:t>
      </w:r>
    </w:p>
    <w:p w14:paraId="244B58C8" w14:textId="77777777" w:rsidR="008C40F8" w:rsidRDefault="008C40F8" w:rsidP="00134467">
      <w:pPr>
        <w:pStyle w:val="BodyText"/>
        <w:spacing w:before="1"/>
        <w:ind w:firstLine="0"/>
        <w:jc w:val="both"/>
      </w:pPr>
    </w:p>
    <w:p w14:paraId="7999BC7B" w14:textId="77777777" w:rsidR="008C40F8" w:rsidRDefault="00196F85" w:rsidP="00134467">
      <w:pPr>
        <w:pStyle w:val="ListParagraph"/>
        <w:numPr>
          <w:ilvl w:val="0"/>
          <w:numId w:val="1"/>
        </w:numPr>
        <w:tabs>
          <w:tab w:val="left" w:pos="461"/>
        </w:tabs>
        <w:ind w:left="360" w:right="106"/>
        <w:jc w:val="both"/>
      </w:pPr>
      <w:r>
        <w:t>LNG Buyers factor in the risks associated with “first-of-a-kind” technologies like Magnolia’s OSMR process. It is extraordinarily rare for an LNG Buyer to take the risks associated with</w:t>
      </w:r>
      <w:r>
        <w:rPr>
          <w:spacing w:val="-30"/>
        </w:rPr>
        <w:t xml:space="preserve"> </w:t>
      </w:r>
      <w:r>
        <w:t>a first-of-a-kind technology. Typically, first-of-a-kind technology risks are developed by major oil companies prepared to risk billions of dollars for the potential of future</w:t>
      </w:r>
      <w:r>
        <w:rPr>
          <w:spacing w:val="-27"/>
        </w:rPr>
        <w:t xml:space="preserve"> </w:t>
      </w:r>
      <w:r>
        <w:t>upside.</w:t>
      </w:r>
    </w:p>
    <w:p w14:paraId="19E0B3FF" w14:textId="77777777" w:rsidR="008C40F8" w:rsidRDefault="008C40F8" w:rsidP="00134467">
      <w:pPr>
        <w:pStyle w:val="BodyText"/>
        <w:ind w:firstLine="0"/>
        <w:jc w:val="both"/>
      </w:pPr>
    </w:p>
    <w:p w14:paraId="5C65F41C" w14:textId="77777777" w:rsidR="008C40F8" w:rsidRDefault="00196F85" w:rsidP="00134467">
      <w:pPr>
        <w:pStyle w:val="ListParagraph"/>
        <w:numPr>
          <w:ilvl w:val="0"/>
          <w:numId w:val="1"/>
        </w:numPr>
        <w:tabs>
          <w:tab w:val="left" w:pos="461"/>
        </w:tabs>
        <w:ind w:left="360" w:right="187"/>
        <w:jc w:val="both"/>
      </w:pPr>
      <w:r>
        <w:t>Magnolia LNG is approximately 25 miles to the Gulf of Mexico. Over the term of a typical LNG sales contract, LNG Buyers will pay approximately $300MM or more for LNG Shipping costs to transit LNG ships across arguably the busiest energy river in the United</w:t>
      </w:r>
      <w:r w:rsidRPr="00134467">
        <w:rPr>
          <w:spacing w:val="-28"/>
        </w:rPr>
        <w:t xml:space="preserve"> </w:t>
      </w:r>
      <w:r>
        <w:t>States.</w:t>
      </w:r>
    </w:p>
    <w:sectPr w:rsidR="008C40F8">
      <w:pgSz w:w="12240" w:h="15840"/>
      <w:pgMar w:top="1500" w:right="1360" w:bottom="280" w:left="134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Stephanie Moreau" w:date="2017-11-10T13:37:00Z" w:initials="SM">
    <w:p w14:paraId="06D27923" w14:textId="77777777" w:rsidR="00AF32D2" w:rsidRDefault="00AF32D2">
      <w:pPr>
        <w:pStyle w:val="CommentText"/>
      </w:pPr>
      <w:r>
        <w:rPr>
          <w:rStyle w:val="CommentReference"/>
        </w:rPr>
        <w:annotationRef/>
      </w:r>
      <w:r>
        <w:t xml:space="preserve">This isn’t clear to me. Double as compared to what?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6D2792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6D27923" w16cid:durableId="1DB1949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C7035D" w14:textId="77777777" w:rsidR="00704852" w:rsidRDefault="00704852" w:rsidP="00E55A06">
      <w:r>
        <w:separator/>
      </w:r>
    </w:p>
  </w:endnote>
  <w:endnote w:type="continuationSeparator" w:id="0">
    <w:p w14:paraId="13E5CC94" w14:textId="77777777" w:rsidR="00704852" w:rsidRDefault="00704852" w:rsidP="00E55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altName w:val="Arial"/>
    <w:panose1 w:val="020B0604020202020204"/>
    <w:charset w:val="00"/>
    <w:family w:val="swiss"/>
    <w:pitch w:val="variable"/>
    <w:sig w:usb0="E10022FF" w:usb1="C000E47F" w:usb2="00000029" w:usb3="00000000" w:csb0="000001D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6B2883" w14:textId="77777777" w:rsidR="00704852" w:rsidRDefault="00704852" w:rsidP="00E55A06">
      <w:r>
        <w:separator/>
      </w:r>
    </w:p>
  </w:footnote>
  <w:footnote w:type="continuationSeparator" w:id="0">
    <w:p w14:paraId="2AAE51F4" w14:textId="77777777" w:rsidR="00704852" w:rsidRDefault="00704852" w:rsidP="00E55A06">
      <w:r>
        <w:continuationSeparator/>
      </w:r>
    </w:p>
  </w:footnote>
  <w:footnote w:id="1">
    <w:p w14:paraId="02AB1880" w14:textId="77777777" w:rsidR="00E55A06" w:rsidRDefault="00E55A06">
      <w:pPr>
        <w:pStyle w:val="FootnoteText"/>
      </w:pPr>
      <w:r>
        <w:rPr>
          <w:rStyle w:val="FootnoteReference"/>
        </w:rPr>
        <w:footnoteRef/>
      </w:r>
      <w:r>
        <w:t xml:space="preserve"> “Magnolia LNG’s website: OSMR© technology,” as seen on November 10</w:t>
      </w:r>
      <w:r w:rsidRPr="00E55A06">
        <w:rPr>
          <w:vertAlign w:val="superscript"/>
        </w:rPr>
        <w:t>th</w:t>
      </w:r>
      <w:r>
        <w:t xml:space="preserve">, 2017 at: </w:t>
      </w:r>
      <w:hyperlink r:id="rId1" w:history="1">
        <w:r w:rsidRPr="006766CC">
          <w:rPr>
            <w:rStyle w:val="Hyperlink"/>
          </w:rPr>
          <w:t>http://www.lnglimited.com.au/irm/content/osmr-technology1.aspx?RID=346&amp;RedirectCount=1</w:t>
        </w:r>
      </w:hyperlink>
    </w:p>
    <w:p w14:paraId="78D7885E" w14:textId="77777777" w:rsidR="00E55A06" w:rsidRDefault="00E55A06">
      <w:pPr>
        <w:pStyle w:val="FootnoteText"/>
      </w:pPr>
    </w:p>
  </w:footnote>
  <w:footnote w:id="2">
    <w:p w14:paraId="7F976761" w14:textId="77777777" w:rsidR="00E55A06" w:rsidRDefault="00E55A06">
      <w:pPr>
        <w:pStyle w:val="FootnoteText"/>
      </w:pPr>
      <w:r>
        <w:rPr>
          <w:rStyle w:val="FootnoteReference"/>
        </w:rPr>
        <w:footnoteRef/>
      </w:r>
      <w:r>
        <w:t xml:space="preserve"> “Magnolia LNG Liquefaction Project Profile.” PFC Energy (IHS Markit), 18 August 2015</w:t>
      </w:r>
    </w:p>
    <w:p w14:paraId="6E65F50A" w14:textId="77777777" w:rsidR="00E55A06" w:rsidRDefault="00E55A06">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701A3"/>
    <w:multiLevelType w:val="hybridMultilevel"/>
    <w:tmpl w:val="4D8C77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230EA0"/>
    <w:multiLevelType w:val="hybridMultilevel"/>
    <w:tmpl w:val="C9C080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364787"/>
    <w:multiLevelType w:val="hybridMultilevel"/>
    <w:tmpl w:val="A77E1424"/>
    <w:lvl w:ilvl="0" w:tplc="133AFF2A">
      <w:start w:val="1"/>
      <w:numFmt w:val="decimal"/>
      <w:lvlText w:val="%1."/>
      <w:lvlJc w:val="left"/>
      <w:pPr>
        <w:ind w:left="1180" w:hanging="360"/>
        <w:jc w:val="right"/>
      </w:pPr>
      <w:rPr>
        <w:rFonts w:ascii="Arial" w:eastAsia="Arial" w:hAnsi="Arial" w:cs="Arial" w:hint="default"/>
        <w:spacing w:val="-1"/>
        <w:w w:val="100"/>
        <w:sz w:val="22"/>
        <w:szCs w:val="22"/>
      </w:rPr>
    </w:lvl>
    <w:lvl w:ilvl="1" w:tplc="9BA4628C">
      <w:start w:val="1"/>
      <w:numFmt w:val="lowerLetter"/>
      <w:lvlText w:val="%2."/>
      <w:lvlJc w:val="left"/>
      <w:pPr>
        <w:ind w:left="1180" w:hanging="360"/>
        <w:jc w:val="left"/>
      </w:pPr>
      <w:rPr>
        <w:rFonts w:ascii="Arial" w:eastAsia="Arial" w:hAnsi="Arial" w:cs="Arial" w:hint="default"/>
        <w:spacing w:val="-1"/>
        <w:w w:val="100"/>
        <w:sz w:val="22"/>
        <w:szCs w:val="22"/>
      </w:rPr>
    </w:lvl>
    <w:lvl w:ilvl="2" w:tplc="0A9C571A">
      <w:numFmt w:val="bullet"/>
      <w:lvlText w:val="•"/>
      <w:lvlJc w:val="left"/>
      <w:pPr>
        <w:ind w:left="2852" w:hanging="360"/>
      </w:pPr>
      <w:rPr>
        <w:rFonts w:hint="default"/>
      </w:rPr>
    </w:lvl>
    <w:lvl w:ilvl="3" w:tplc="D3108888">
      <w:numFmt w:val="bullet"/>
      <w:lvlText w:val="•"/>
      <w:lvlJc w:val="left"/>
      <w:pPr>
        <w:ind w:left="3688" w:hanging="360"/>
      </w:pPr>
      <w:rPr>
        <w:rFonts w:hint="default"/>
      </w:rPr>
    </w:lvl>
    <w:lvl w:ilvl="4" w:tplc="4F34D87C">
      <w:numFmt w:val="bullet"/>
      <w:lvlText w:val="•"/>
      <w:lvlJc w:val="left"/>
      <w:pPr>
        <w:ind w:left="4524" w:hanging="360"/>
      </w:pPr>
      <w:rPr>
        <w:rFonts w:hint="default"/>
      </w:rPr>
    </w:lvl>
    <w:lvl w:ilvl="5" w:tplc="B92EC94A">
      <w:numFmt w:val="bullet"/>
      <w:lvlText w:val="•"/>
      <w:lvlJc w:val="left"/>
      <w:pPr>
        <w:ind w:left="5360" w:hanging="360"/>
      </w:pPr>
      <w:rPr>
        <w:rFonts w:hint="default"/>
      </w:rPr>
    </w:lvl>
    <w:lvl w:ilvl="6" w:tplc="986605FE">
      <w:numFmt w:val="bullet"/>
      <w:lvlText w:val="•"/>
      <w:lvlJc w:val="left"/>
      <w:pPr>
        <w:ind w:left="6196" w:hanging="360"/>
      </w:pPr>
      <w:rPr>
        <w:rFonts w:hint="default"/>
      </w:rPr>
    </w:lvl>
    <w:lvl w:ilvl="7" w:tplc="42FE8292">
      <w:numFmt w:val="bullet"/>
      <w:lvlText w:val="•"/>
      <w:lvlJc w:val="left"/>
      <w:pPr>
        <w:ind w:left="7032" w:hanging="360"/>
      </w:pPr>
      <w:rPr>
        <w:rFonts w:hint="default"/>
      </w:rPr>
    </w:lvl>
    <w:lvl w:ilvl="8" w:tplc="8BF82D86">
      <w:numFmt w:val="bullet"/>
      <w:lvlText w:val="•"/>
      <w:lvlJc w:val="left"/>
      <w:pPr>
        <w:ind w:left="7868" w:hanging="360"/>
      </w:pPr>
      <w:rPr>
        <w:rFonts w:hint="default"/>
      </w:rPr>
    </w:lvl>
  </w:abstractNum>
  <w:abstractNum w:abstractNumId="3" w15:restartNumberingAfterBreak="0">
    <w:nsid w:val="16AB5045"/>
    <w:multiLevelType w:val="hybridMultilevel"/>
    <w:tmpl w:val="0AD847F2"/>
    <w:lvl w:ilvl="0" w:tplc="5450E8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A14106"/>
    <w:multiLevelType w:val="hybridMultilevel"/>
    <w:tmpl w:val="AFEA2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FF67B5"/>
    <w:multiLevelType w:val="hybridMultilevel"/>
    <w:tmpl w:val="BB3EB304"/>
    <w:lvl w:ilvl="0" w:tplc="08D2BE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E062BD5"/>
    <w:multiLevelType w:val="hybridMultilevel"/>
    <w:tmpl w:val="920A34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FEB65FD"/>
    <w:multiLevelType w:val="hybridMultilevel"/>
    <w:tmpl w:val="F778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3"/>
  </w:num>
  <w:num w:numId="4">
    <w:abstractNumId w:val="5"/>
  </w:num>
  <w:num w:numId="5">
    <w:abstractNumId w:val="7"/>
  </w:num>
  <w:num w:numId="6">
    <w:abstractNumId w:val="4"/>
  </w:num>
  <w:num w:numId="7">
    <w:abstractNumId w:val="1"/>
  </w:num>
  <w:num w:numId="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ephanie Moreau">
    <w15:presenceInfo w15:providerId="AD" w15:userId="S-1-5-21-1129357464-635199154-1080568827-2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7"/>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0F8"/>
    <w:rsid w:val="00007583"/>
    <w:rsid w:val="0001225C"/>
    <w:rsid w:val="00015CE9"/>
    <w:rsid w:val="000340AF"/>
    <w:rsid w:val="0009119F"/>
    <w:rsid w:val="000A15D7"/>
    <w:rsid w:val="000D09AD"/>
    <w:rsid w:val="000F7530"/>
    <w:rsid w:val="00134467"/>
    <w:rsid w:val="00163493"/>
    <w:rsid w:val="00193686"/>
    <w:rsid w:val="00196F85"/>
    <w:rsid w:val="001E7B52"/>
    <w:rsid w:val="0021633D"/>
    <w:rsid w:val="002B0E53"/>
    <w:rsid w:val="002F14E7"/>
    <w:rsid w:val="003100FC"/>
    <w:rsid w:val="00370598"/>
    <w:rsid w:val="00391B06"/>
    <w:rsid w:val="003C737C"/>
    <w:rsid w:val="003E702F"/>
    <w:rsid w:val="00407EDC"/>
    <w:rsid w:val="00420EEB"/>
    <w:rsid w:val="00430401"/>
    <w:rsid w:val="00444ED3"/>
    <w:rsid w:val="00463C5B"/>
    <w:rsid w:val="004C7618"/>
    <w:rsid w:val="004F2665"/>
    <w:rsid w:val="00517C7B"/>
    <w:rsid w:val="00523520"/>
    <w:rsid w:val="00555870"/>
    <w:rsid w:val="00556D62"/>
    <w:rsid w:val="00560D3E"/>
    <w:rsid w:val="00582750"/>
    <w:rsid w:val="005A46D2"/>
    <w:rsid w:val="005E3FBE"/>
    <w:rsid w:val="005F245F"/>
    <w:rsid w:val="006269E0"/>
    <w:rsid w:val="00671F83"/>
    <w:rsid w:val="0068632B"/>
    <w:rsid w:val="006A226E"/>
    <w:rsid w:val="006C09C8"/>
    <w:rsid w:val="006D0FC6"/>
    <w:rsid w:val="00704848"/>
    <w:rsid w:val="00704852"/>
    <w:rsid w:val="00704884"/>
    <w:rsid w:val="00743F5F"/>
    <w:rsid w:val="00747A1C"/>
    <w:rsid w:val="00750F35"/>
    <w:rsid w:val="0079768C"/>
    <w:rsid w:val="007B3C72"/>
    <w:rsid w:val="007C2E31"/>
    <w:rsid w:val="007E58E6"/>
    <w:rsid w:val="00847528"/>
    <w:rsid w:val="00853144"/>
    <w:rsid w:val="008838AB"/>
    <w:rsid w:val="0088650B"/>
    <w:rsid w:val="008A5589"/>
    <w:rsid w:val="008C301B"/>
    <w:rsid w:val="008C40F8"/>
    <w:rsid w:val="008E59CC"/>
    <w:rsid w:val="008F68CC"/>
    <w:rsid w:val="00933265"/>
    <w:rsid w:val="009B634E"/>
    <w:rsid w:val="009C18B5"/>
    <w:rsid w:val="00A10ACC"/>
    <w:rsid w:val="00A15DD4"/>
    <w:rsid w:val="00A2574D"/>
    <w:rsid w:val="00A51075"/>
    <w:rsid w:val="00A63E8E"/>
    <w:rsid w:val="00A87723"/>
    <w:rsid w:val="00AF32D2"/>
    <w:rsid w:val="00B0440F"/>
    <w:rsid w:val="00B0504D"/>
    <w:rsid w:val="00B06160"/>
    <w:rsid w:val="00B31160"/>
    <w:rsid w:val="00B57DF0"/>
    <w:rsid w:val="00B71B6A"/>
    <w:rsid w:val="00B8157B"/>
    <w:rsid w:val="00B926EF"/>
    <w:rsid w:val="00C14FE5"/>
    <w:rsid w:val="00C151B7"/>
    <w:rsid w:val="00C6275D"/>
    <w:rsid w:val="00C6404A"/>
    <w:rsid w:val="00C737E0"/>
    <w:rsid w:val="00CA5C79"/>
    <w:rsid w:val="00CE0F59"/>
    <w:rsid w:val="00D57582"/>
    <w:rsid w:val="00D60BB6"/>
    <w:rsid w:val="00D667F3"/>
    <w:rsid w:val="00D95D41"/>
    <w:rsid w:val="00DA57D1"/>
    <w:rsid w:val="00DC1961"/>
    <w:rsid w:val="00DF6B9B"/>
    <w:rsid w:val="00E03C28"/>
    <w:rsid w:val="00E067E8"/>
    <w:rsid w:val="00E13F88"/>
    <w:rsid w:val="00E3778E"/>
    <w:rsid w:val="00E55A06"/>
    <w:rsid w:val="00E76591"/>
    <w:rsid w:val="00EA6EB3"/>
    <w:rsid w:val="00EB7112"/>
    <w:rsid w:val="00EE7C06"/>
    <w:rsid w:val="00F2631B"/>
    <w:rsid w:val="00F36A44"/>
    <w:rsid w:val="00F52312"/>
    <w:rsid w:val="00F545E5"/>
    <w:rsid w:val="00F628E6"/>
    <w:rsid w:val="00F70ACC"/>
    <w:rsid w:val="00FF7D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21530"/>
  <w15:docId w15:val="{B0ABEB0F-E8D2-4B26-901D-29CE3CD8F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hanging="360"/>
    </w:pPr>
  </w:style>
  <w:style w:type="paragraph" w:styleId="ListParagraph">
    <w:name w:val="List Paragraph"/>
    <w:basedOn w:val="Normal"/>
    <w:uiPriority w:val="1"/>
    <w:qFormat/>
    <w:pPr>
      <w:ind w:left="1180" w:hanging="360"/>
    </w:pPr>
  </w:style>
  <w:style w:type="paragraph" w:customStyle="1" w:styleId="TableParagraph">
    <w:name w:val="Table Paragraph"/>
    <w:basedOn w:val="Normal"/>
    <w:uiPriority w:val="1"/>
    <w:qFormat/>
    <w:pPr>
      <w:ind w:left="296"/>
    </w:pPr>
  </w:style>
  <w:style w:type="paragraph" w:styleId="BalloonText">
    <w:name w:val="Balloon Text"/>
    <w:basedOn w:val="Normal"/>
    <w:link w:val="BalloonTextChar"/>
    <w:uiPriority w:val="99"/>
    <w:semiHidden/>
    <w:unhideWhenUsed/>
    <w:rsid w:val="0052352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3520"/>
    <w:rPr>
      <w:rFonts w:ascii="Segoe UI" w:eastAsia="Arial" w:hAnsi="Segoe UI" w:cs="Segoe UI"/>
      <w:sz w:val="18"/>
      <w:szCs w:val="18"/>
    </w:rPr>
  </w:style>
  <w:style w:type="paragraph" w:styleId="FootnoteText">
    <w:name w:val="footnote text"/>
    <w:basedOn w:val="Normal"/>
    <w:link w:val="FootnoteTextChar"/>
    <w:uiPriority w:val="99"/>
    <w:semiHidden/>
    <w:unhideWhenUsed/>
    <w:rsid w:val="00E55A06"/>
    <w:rPr>
      <w:sz w:val="20"/>
      <w:szCs w:val="20"/>
    </w:rPr>
  </w:style>
  <w:style w:type="character" w:customStyle="1" w:styleId="FootnoteTextChar">
    <w:name w:val="Footnote Text Char"/>
    <w:basedOn w:val="DefaultParagraphFont"/>
    <w:link w:val="FootnoteText"/>
    <w:uiPriority w:val="99"/>
    <w:semiHidden/>
    <w:rsid w:val="00E55A06"/>
    <w:rPr>
      <w:rFonts w:ascii="Arial" w:eastAsia="Arial" w:hAnsi="Arial" w:cs="Arial"/>
      <w:sz w:val="20"/>
      <w:szCs w:val="20"/>
    </w:rPr>
  </w:style>
  <w:style w:type="character" w:styleId="FootnoteReference">
    <w:name w:val="footnote reference"/>
    <w:basedOn w:val="DefaultParagraphFont"/>
    <w:uiPriority w:val="99"/>
    <w:semiHidden/>
    <w:unhideWhenUsed/>
    <w:rsid w:val="00E55A06"/>
    <w:rPr>
      <w:vertAlign w:val="superscript"/>
    </w:rPr>
  </w:style>
  <w:style w:type="character" w:styleId="Hyperlink">
    <w:name w:val="Hyperlink"/>
    <w:basedOn w:val="DefaultParagraphFont"/>
    <w:uiPriority w:val="99"/>
    <w:unhideWhenUsed/>
    <w:rsid w:val="00E55A06"/>
    <w:rPr>
      <w:color w:val="0000FF" w:themeColor="hyperlink"/>
      <w:u w:val="single"/>
    </w:rPr>
  </w:style>
  <w:style w:type="character" w:styleId="CommentReference">
    <w:name w:val="annotation reference"/>
    <w:basedOn w:val="DefaultParagraphFont"/>
    <w:uiPriority w:val="99"/>
    <w:semiHidden/>
    <w:unhideWhenUsed/>
    <w:rsid w:val="00C6404A"/>
    <w:rPr>
      <w:sz w:val="16"/>
      <w:szCs w:val="16"/>
    </w:rPr>
  </w:style>
  <w:style w:type="paragraph" w:styleId="CommentText">
    <w:name w:val="annotation text"/>
    <w:basedOn w:val="Normal"/>
    <w:link w:val="CommentTextChar"/>
    <w:uiPriority w:val="99"/>
    <w:semiHidden/>
    <w:unhideWhenUsed/>
    <w:rsid w:val="00C6404A"/>
    <w:rPr>
      <w:sz w:val="20"/>
      <w:szCs w:val="20"/>
    </w:rPr>
  </w:style>
  <w:style w:type="character" w:customStyle="1" w:styleId="CommentTextChar">
    <w:name w:val="Comment Text Char"/>
    <w:basedOn w:val="DefaultParagraphFont"/>
    <w:link w:val="CommentText"/>
    <w:uiPriority w:val="99"/>
    <w:semiHidden/>
    <w:rsid w:val="00C6404A"/>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C6404A"/>
    <w:rPr>
      <w:b/>
      <w:bCs/>
    </w:rPr>
  </w:style>
  <w:style w:type="character" w:customStyle="1" w:styleId="CommentSubjectChar">
    <w:name w:val="Comment Subject Char"/>
    <w:basedOn w:val="CommentTextChar"/>
    <w:link w:val="CommentSubject"/>
    <w:uiPriority w:val="99"/>
    <w:semiHidden/>
    <w:rsid w:val="00C6404A"/>
    <w:rPr>
      <w:rFonts w:ascii="Arial" w:eastAsia="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s>
</file>

<file path=word/_rels/footnotes.xml.rels><?xml version="1.0" encoding="UTF-8" standalone="yes"?>
<Relationships xmlns="http://schemas.openxmlformats.org/package/2006/relationships"><Relationship Id="rId1" Type="http://schemas.openxmlformats.org/officeDocument/2006/relationships/hyperlink" Target="http://www.lnglimited.com.au/irm/content/osmr-technology1.aspx?RID=346&amp;RedirectCount=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D3A451-9BFB-A243-A06A-05D61D57AEA8}">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1170</Words>
  <Characters>6671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Stephanie Moreau</dc:creator>
  <cp:lastModifiedBy>Greg Michaels</cp:lastModifiedBy>
  <cp:revision>3</cp:revision>
  <dcterms:created xsi:type="dcterms:W3CDTF">2017-11-11T23:24:00Z</dcterms:created>
  <dcterms:modified xsi:type="dcterms:W3CDTF">2017-11-11T23:27:00Z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2017-10-27T00:00:00Z</vt:filetime>
  </property>
  <property fmtid="{D5CDD505-2E9C-101B-9397-08002B2CF9AE}" pid="3" name="Creator">
    <vt:lpwstr>Microsoft® Word 2013</vt:lpwstr>
  </property>
  <property fmtid="{D5CDD505-2E9C-101B-9397-08002B2CF9AE}" pid="4" name="LastSaved">
    <vt:filetime>2017-11-09T00:00:00Z</vt:filetime>
  </property>
</Properties>
</file>