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584F3" w14:textId="77777777" w:rsidR="008568A1" w:rsidRPr="00D47AAA" w:rsidRDefault="008568A1" w:rsidP="00FB4C05">
      <w:pPr>
        <w:jc w:val="center"/>
        <w:rPr>
          <w:rFonts w:eastAsia="华文楷体"/>
          <w:b/>
          <w:smallCaps/>
          <w:sz w:val="32"/>
          <w:szCs w:val="32"/>
        </w:rPr>
      </w:pPr>
      <w:r w:rsidRPr="00D47AAA">
        <w:rPr>
          <w:rFonts w:eastAsia="华文楷体"/>
          <w:b/>
          <w:smallCaps/>
          <w:sz w:val="32"/>
          <w:szCs w:val="32"/>
        </w:rPr>
        <w:t>Bohai Harvest RST (Shanghai) Equity Investment Fund Management Co., Ltd. (</w:t>
      </w:r>
      <w:r w:rsidRPr="00D47AAA">
        <w:rPr>
          <w:rFonts w:eastAsia="仿宋_GB2312"/>
          <w:b/>
          <w:sz w:val="28"/>
        </w:rPr>
        <w:t>the</w:t>
      </w:r>
      <w:r w:rsidRPr="00D47AAA">
        <w:rPr>
          <w:rFonts w:eastAsia="华文楷体"/>
          <w:b/>
          <w:smallCaps/>
          <w:sz w:val="32"/>
          <w:szCs w:val="32"/>
        </w:rPr>
        <w:t xml:space="preserve"> “Company”)</w:t>
      </w:r>
    </w:p>
    <w:p w14:paraId="463A4B86" w14:textId="2DE5F080" w:rsidR="008568A1" w:rsidRDefault="00261E06" w:rsidP="00FB4C05">
      <w:pPr>
        <w:jc w:val="center"/>
        <w:rPr>
          <w:rFonts w:eastAsia="华文楷体"/>
          <w:b/>
          <w:smallCaps/>
          <w:sz w:val="28"/>
          <w:szCs w:val="32"/>
        </w:rPr>
      </w:pPr>
      <w:r>
        <w:rPr>
          <w:rFonts w:eastAsia="华文楷体"/>
          <w:b/>
          <w:smallCaps/>
          <w:sz w:val="28"/>
          <w:szCs w:val="32"/>
        </w:rPr>
        <w:t>Thirteenth</w:t>
      </w:r>
      <w:r w:rsidR="008568A1" w:rsidRPr="006A7FD4">
        <w:rPr>
          <w:rFonts w:eastAsia="华文楷体"/>
          <w:b/>
          <w:smallCaps/>
          <w:sz w:val="28"/>
          <w:szCs w:val="32"/>
        </w:rPr>
        <w:t xml:space="preserve"> </w:t>
      </w:r>
      <w:r w:rsidR="008568A1" w:rsidRPr="00D47AAA">
        <w:rPr>
          <w:rFonts w:eastAsia="华文楷体"/>
          <w:b/>
          <w:smallCaps/>
          <w:sz w:val="28"/>
          <w:szCs w:val="32"/>
        </w:rPr>
        <w:t xml:space="preserve">Board Meeting </w:t>
      </w:r>
    </w:p>
    <w:p w14:paraId="64E01149" w14:textId="77777777" w:rsidR="00AA5B1C" w:rsidRPr="00D47AAA" w:rsidRDefault="00AA5B1C" w:rsidP="00FB4C05">
      <w:pPr>
        <w:jc w:val="center"/>
        <w:rPr>
          <w:rFonts w:eastAsia="华文楷体"/>
          <w:b/>
          <w:smallCaps/>
          <w:sz w:val="28"/>
          <w:szCs w:val="32"/>
        </w:rPr>
      </w:pPr>
    </w:p>
    <w:p w14:paraId="0AB3589D" w14:textId="043DEA32" w:rsidR="00AA5B1C" w:rsidRDefault="00685A3A" w:rsidP="00AA5B1C">
      <w:pPr>
        <w:jc w:val="both"/>
        <w:rPr>
          <w:rFonts w:eastAsia="仿宋_GB2312"/>
          <w:sz w:val="28"/>
          <w:szCs w:val="28"/>
        </w:rPr>
      </w:pPr>
      <w:r>
        <w:rPr>
          <w:rFonts w:eastAsia="仿宋_GB2312" w:hint="eastAsia"/>
          <w:b/>
          <w:sz w:val="28"/>
          <w:szCs w:val="28"/>
        </w:rPr>
        <w:t>Date:</w:t>
      </w:r>
      <w:r>
        <w:rPr>
          <w:rFonts w:eastAsia="仿宋_GB2312" w:hint="eastAsia"/>
          <w:b/>
          <w:sz w:val="28"/>
          <w:szCs w:val="28"/>
        </w:rPr>
        <w:tab/>
      </w:r>
      <w:r>
        <w:rPr>
          <w:rFonts w:eastAsia="仿宋_GB2312"/>
          <w:b/>
          <w:sz w:val="28"/>
          <w:szCs w:val="28"/>
        </w:rPr>
        <w:tab/>
      </w:r>
      <w:r>
        <w:rPr>
          <w:rFonts w:eastAsia="仿宋_GB2312"/>
          <w:b/>
          <w:sz w:val="28"/>
          <w:szCs w:val="28"/>
        </w:rPr>
        <w:tab/>
      </w:r>
      <w:r>
        <w:rPr>
          <w:rFonts w:eastAsia="仿宋_GB2312"/>
          <w:b/>
          <w:sz w:val="28"/>
          <w:szCs w:val="28"/>
        </w:rPr>
        <w:tab/>
      </w:r>
      <w:r>
        <w:rPr>
          <w:rFonts w:eastAsia="仿宋_GB2312"/>
          <w:b/>
          <w:sz w:val="28"/>
          <w:szCs w:val="28"/>
        </w:rPr>
        <w:tab/>
      </w:r>
      <w:r w:rsidR="00261E06">
        <w:rPr>
          <w:rFonts w:eastAsia="仿宋_GB2312"/>
          <w:sz w:val="28"/>
          <w:szCs w:val="28"/>
        </w:rPr>
        <w:t>January</w:t>
      </w:r>
      <w:r w:rsidR="00AA5B1C" w:rsidRPr="00AA5B1C">
        <w:rPr>
          <w:rFonts w:eastAsia="仿宋_GB2312"/>
          <w:sz w:val="28"/>
          <w:szCs w:val="28"/>
        </w:rPr>
        <w:t xml:space="preserve"> </w:t>
      </w:r>
      <w:r w:rsidR="00261E06">
        <w:rPr>
          <w:rFonts w:eastAsia="仿宋_GB2312"/>
          <w:sz w:val="28"/>
          <w:szCs w:val="28"/>
        </w:rPr>
        <w:t>17</w:t>
      </w:r>
      <w:r w:rsidR="00AA5B1C" w:rsidRPr="00AA5B1C">
        <w:rPr>
          <w:rFonts w:eastAsia="仿宋_GB2312"/>
          <w:sz w:val="28"/>
          <w:szCs w:val="28"/>
        </w:rPr>
        <w:t>, 201</w:t>
      </w:r>
      <w:r w:rsidR="00261E06">
        <w:rPr>
          <w:rFonts w:eastAsia="仿宋_GB2312"/>
          <w:sz w:val="28"/>
          <w:szCs w:val="28"/>
        </w:rPr>
        <w:t>9</w:t>
      </w:r>
      <w:r w:rsidR="009109ED">
        <w:rPr>
          <w:rFonts w:eastAsia="仿宋_GB2312"/>
          <w:sz w:val="28"/>
          <w:szCs w:val="28"/>
        </w:rPr>
        <w:t xml:space="preserve"> </w:t>
      </w:r>
      <w:r w:rsidR="009109ED">
        <w:rPr>
          <w:rFonts w:eastAsia="仿宋_GB2312" w:hint="eastAsia"/>
          <w:sz w:val="28"/>
          <w:szCs w:val="28"/>
        </w:rPr>
        <w:t>(</w:t>
      </w:r>
      <w:r w:rsidR="00AA5B1C" w:rsidRPr="00AA5B1C">
        <w:rPr>
          <w:rFonts w:eastAsia="仿宋_GB2312"/>
          <w:sz w:val="28"/>
          <w:szCs w:val="28"/>
        </w:rPr>
        <w:t>Thursday</w:t>
      </w:r>
      <w:r w:rsidR="009109ED">
        <w:rPr>
          <w:rFonts w:eastAsia="仿宋_GB2312"/>
          <w:sz w:val="28"/>
          <w:szCs w:val="28"/>
        </w:rPr>
        <w:t xml:space="preserve">) </w:t>
      </w:r>
      <w:r w:rsidR="00AA5B1C" w:rsidRPr="00AA5B1C">
        <w:rPr>
          <w:rFonts w:eastAsia="仿宋_GB2312"/>
          <w:sz w:val="28"/>
          <w:szCs w:val="28"/>
        </w:rPr>
        <w:t xml:space="preserve">9:30AM </w:t>
      </w:r>
      <w:r w:rsidR="009109ED">
        <w:rPr>
          <w:rFonts w:eastAsia="仿宋_GB2312"/>
          <w:sz w:val="28"/>
          <w:szCs w:val="28"/>
        </w:rPr>
        <w:t>- 12:30PM</w:t>
      </w:r>
    </w:p>
    <w:p w14:paraId="0303FB69" w14:textId="19A49777" w:rsidR="00AA5B1C" w:rsidRDefault="00AA5B1C" w:rsidP="00AA5B1C">
      <w:pPr>
        <w:jc w:val="both"/>
        <w:rPr>
          <w:rFonts w:eastAsia="仿宋_GB2312"/>
          <w:sz w:val="28"/>
        </w:rPr>
      </w:pPr>
      <w:r w:rsidRPr="00D47AAA">
        <w:rPr>
          <w:rFonts w:eastAsia="仿宋_GB2312"/>
          <w:b/>
          <w:sz w:val="28"/>
        </w:rPr>
        <w:t>Location:</w:t>
      </w:r>
      <w:r w:rsidRPr="00AA5B1C">
        <w:rPr>
          <w:rFonts w:eastAsia="仿宋_GB2312"/>
          <w:sz w:val="28"/>
        </w:rPr>
        <w:t xml:space="preserve"> </w:t>
      </w:r>
      <w:r w:rsidR="00685A3A">
        <w:rPr>
          <w:rFonts w:eastAsia="仿宋_GB2312"/>
          <w:sz w:val="28"/>
        </w:rPr>
        <w:t xml:space="preserve">       </w:t>
      </w:r>
      <w:r w:rsidR="00685A3A">
        <w:rPr>
          <w:rFonts w:eastAsia="仿宋_GB2312"/>
          <w:sz w:val="28"/>
        </w:rPr>
        <w:tab/>
      </w:r>
      <w:r w:rsidRPr="00D47AAA">
        <w:rPr>
          <w:rFonts w:eastAsia="仿宋_GB2312"/>
          <w:sz w:val="28"/>
        </w:rPr>
        <w:t>Beijing Office</w:t>
      </w:r>
    </w:p>
    <w:p w14:paraId="5D9868EA" w14:textId="5A537E4E" w:rsidR="00AA5B1C" w:rsidRDefault="00AA5B1C" w:rsidP="00AA5B1C">
      <w:pPr>
        <w:jc w:val="both"/>
        <w:rPr>
          <w:rFonts w:eastAsia="仿宋_GB2312"/>
          <w:sz w:val="28"/>
        </w:rPr>
      </w:pPr>
      <w:r w:rsidRPr="00D47AAA">
        <w:rPr>
          <w:rFonts w:eastAsia="仿宋_GB2312"/>
          <w:b/>
          <w:sz w:val="28"/>
        </w:rPr>
        <w:t>Board Attendees:</w:t>
      </w:r>
      <w:r>
        <w:rPr>
          <w:rFonts w:eastAsia="仿宋_GB2312"/>
          <w:b/>
          <w:sz w:val="28"/>
        </w:rPr>
        <w:t xml:space="preserve"> </w:t>
      </w:r>
      <w:r w:rsidRPr="00AA5B1C">
        <w:rPr>
          <w:rFonts w:eastAsia="仿宋_GB2312"/>
          <w:sz w:val="28"/>
        </w:rPr>
        <w:t xml:space="preserve"> </w:t>
      </w:r>
      <w:r w:rsidR="00685A3A">
        <w:rPr>
          <w:rFonts w:eastAsia="仿宋_GB2312"/>
          <w:sz w:val="28"/>
        </w:rPr>
        <w:tab/>
      </w:r>
      <w:r w:rsidRPr="00D47AAA">
        <w:rPr>
          <w:rFonts w:eastAsia="仿宋_GB2312"/>
          <w:sz w:val="28"/>
        </w:rPr>
        <w:t>All Board Members</w:t>
      </w:r>
    </w:p>
    <w:p w14:paraId="5368D7A1" w14:textId="50215A84" w:rsidR="00AA5B1C" w:rsidRPr="00AA5B1C" w:rsidRDefault="00AA5B1C" w:rsidP="00AA5B1C">
      <w:pPr>
        <w:jc w:val="both"/>
        <w:rPr>
          <w:rFonts w:eastAsia="仿宋_GB2312"/>
          <w:sz w:val="28"/>
          <w:szCs w:val="28"/>
        </w:rPr>
      </w:pPr>
      <w:r w:rsidRPr="00D47AAA">
        <w:rPr>
          <w:rFonts w:eastAsia="仿宋_GB2312"/>
          <w:b/>
          <w:sz w:val="28"/>
        </w:rPr>
        <w:t>Other Attendees:</w:t>
      </w:r>
      <w:r w:rsidRPr="00AA5B1C">
        <w:rPr>
          <w:rFonts w:eastAsia="仿宋_GB2312"/>
          <w:sz w:val="28"/>
        </w:rPr>
        <w:t xml:space="preserve"> </w:t>
      </w:r>
      <w:r>
        <w:rPr>
          <w:rFonts w:eastAsia="仿宋_GB2312"/>
          <w:sz w:val="28"/>
        </w:rPr>
        <w:t xml:space="preserve"> </w:t>
      </w:r>
      <w:r w:rsidR="00685A3A">
        <w:rPr>
          <w:rFonts w:eastAsia="仿宋_GB2312"/>
          <w:sz w:val="28"/>
        </w:rPr>
        <w:tab/>
      </w:r>
      <w:r w:rsidRPr="00D47AAA">
        <w:rPr>
          <w:rFonts w:eastAsia="仿宋_GB2312"/>
          <w:sz w:val="28"/>
        </w:rPr>
        <w:t>Supervisor and Management Team Representatives</w:t>
      </w:r>
    </w:p>
    <w:p w14:paraId="65360CE5" w14:textId="77777777" w:rsidR="008568A1" w:rsidRPr="00AA5B1C" w:rsidRDefault="008568A1" w:rsidP="00AA5B1C">
      <w:pPr>
        <w:spacing w:beforeLines="80" w:before="249"/>
        <w:jc w:val="both"/>
        <w:rPr>
          <w:b/>
          <w:sz w:val="28"/>
          <w:szCs w:val="28"/>
        </w:rPr>
      </w:pPr>
      <w:r w:rsidRPr="00AA5B1C">
        <w:rPr>
          <w:b/>
          <w:sz w:val="28"/>
          <w:szCs w:val="28"/>
        </w:rPr>
        <w:t>AGENDA</w:t>
      </w:r>
    </w:p>
    <w:p w14:paraId="65998814" w14:textId="77777777" w:rsidR="008568A1" w:rsidRPr="00D47AAA" w:rsidRDefault="008568A1" w:rsidP="00AA5B1C">
      <w:pPr>
        <w:numPr>
          <w:ilvl w:val="0"/>
          <w:numId w:val="1"/>
        </w:numPr>
        <w:tabs>
          <w:tab w:val="clear" w:pos="1994"/>
        </w:tabs>
        <w:ind w:left="709" w:hanging="709"/>
        <w:jc w:val="both"/>
        <w:rPr>
          <w:rFonts w:eastAsia="仿宋_GB2312"/>
          <w:sz w:val="28"/>
          <w:lang w:val="en-US"/>
        </w:rPr>
      </w:pPr>
      <w:r w:rsidRPr="00D47AAA">
        <w:rPr>
          <w:rFonts w:eastAsia="仿宋_GB2312"/>
          <w:sz w:val="28"/>
          <w:lang w:val="en-US"/>
        </w:rPr>
        <w:t>Follow-up Issues from Previous Board Meeting</w:t>
      </w:r>
    </w:p>
    <w:p w14:paraId="4E064DC4" w14:textId="6D4E0FCA" w:rsidR="00C74A91" w:rsidRDefault="00C74A91" w:rsidP="00AA5B1C">
      <w:pPr>
        <w:numPr>
          <w:ilvl w:val="0"/>
          <w:numId w:val="1"/>
        </w:numPr>
        <w:tabs>
          <w:tab w:val="clear" w:pos="1994"/>
        </w:tabs>
        <w:ind w:left="709" w:hanging="709"/>
        <w:jc w:val="both"/>
        <w:rPr>
          <w:rFonts w:eastAsia="仿宋_GB2312"/>
          <w:sz w:val="28"/>
          <w:lang w:val="en-US"/>
        </w:rPr>
      </w:pPr>
      <w:r>
        <w:rPr>
          <w:rFonts w:eastAsia="仿宋_GB2312" w:hint="eastAsia"/>
          <w:sz w:val="28"/>
          <w:lang w:val="en-US"/>
        </w:rPr>
        <w:t>Review of 201</w:t>
      </w:r>
      <w:r w:rsidR="00261E06">
        <w:rPr>
          <w:rFonts w:eastAsia="仿宋_GB2312"/>
          <w:sz w:val="28"/>
          <w:lang w:val="en-US"/>
        </w:rPr>
        <w:t>8</w:t>
      </w:r>
      <w:r>
        <w:rPr>
          <w:rFonts w:eastAsia="仿宋_GB2312"/>
          <w:sz w:val="28"/>
          <w:lang w:val="en-US"/>
        </w:rPr>
        <w:t xml:space="preserve"> Operations</w:t>
      </w:r>
    </w:p>
    <w:p w14:paraId="62E2449F" w14:textId="66C0BBA8" w:rsidR="008568A1" w:rsidRPr="00D47AAA" w:rsidRDefault="008568A1" w:rsidP="00AA5B1C">
      <w:pPr>
        <w:numPr>
          <w:ilvl w:val="0"/>
          <w:numId w:val="1"/>
        </w:numPr>
        <w:tabs>
          <w:tab w:val="clear" w:pos="1994"/>
        </w:tabs>
        <w:ind w:left="709" w:hanging="710"/>
        <w:jc w:val="both"/>
        <w:rPr>
          <w:rFonts w:eastAsia="仿宋_GB2312"/>
          <w:sz w:val="28"/>
          <w:lang w:val="en-US"/>
        </w:rPr>
      </w:pPr>
      <w:r w:rsidRPr="00D47AAA">
        <w:rPr>
          <w:rFonts w:eastAsia="仿宋_GB2312"/>
          <w:sz w:val="28"/>
          <w:lang w:val="en-US"/>
        </w:rPr>
        <w:t>Review</w:t>
      </w:r>
      <w:r w:rsidR="00981A6C" w:rsidRPr="00D47AAA">
        <w:rPr>
          <w:rFonts w:eastAsia="仿宋_GB2312"/>
          <w:sz w:val="28"/>
          <w:lang w:val="en-US"/>
        </w:rPr>
        <w:t xml:space="preserve"> of</w:t>
      </w:r>
      <w:r w:rsidRPr="00D47AAA">
        <w:rPr>
          <w:rFonts w:eastAsia="仿宋_GB2312"/>
          <w:sz w:val="28"/>
          <w:lang w:val="en-US"/>
        </w:rPr>
        <w:t xml:space="preserve"> 201</w:t>
      </w:r>
      <w:r w:rsidR="00261E06">
        <w:rPr>
          <w:rFonts w:eastAsia="仿宋_GB2312"/>
          <w:sz w:val="28"/>
          <w:lang w:val="en-US"/>
        </w:rPr>
        <w:t>9</w:t>
      </w:r>
      <w:r w:rsidRPr="00D47AAA">
        <w:rPr>
          <w:rFonts w:eastAsia="仿宋_GB2312"/>
          <w:sz w:val="28"/>
          <w:lang w:val="en-US"/>
        </w:rPr>
        <w:t xml:space="preserve"> </w:t>
      </w:r>
      <w:r w:rsidR="0022378F">
        <w:rPr>
          <w:rFonts w:eastAsia="仿宋_GB2312"/>
          <w:sz w:val="28"/>
          <w:lang w:val="en-US"/>
        </w:rPr>
        <w:t xml:space="preserve">Business </w:t>
      </w:r>
      <w:r w:rsidR="00C74A91">
        <w:rPr>
          <w:rFonts w:eastAsia="仿宋_GB2312"/>
          <w:sz w:val="28"/>
          <w:lang w:val="en-US"/>
        </w:rPr>
        <w:t>Plan</w:t>
      </w:r>
    </w:p>
    <w:p w14:paraId="1D6F8199" w14:textId="1A9D2E2B" w:rsidR="008568A1" w:rsidRDefault="008568A1" w:rsidP="00AA5B1C">
      <w:pPr>
        <w:numPr>
          <w:ilvl w:val="0"/>
          <w:numId w:val="1"/>
        </w:numPr>
        <w:tabs>
          <w:tab w:val="clear" w:pos="1994"/>
        </w:tabs>
        <w:ind w:left="709" w:hanging="710"/>
        <w:jc w:val="both"/>
        <w:rPr>
          <w:rFonts w:eastAsia="仿宋_GB2312"/>
          <w:sz w:val="28"/>
          <w:lang w:val="en-US"/>
        </w:rPr>
      </w:pPr>
      <w:r w:rsidRPr="00D47AAA">
        <w:rPr>
          <w:rFonts w:eastAsia="仿宋_GB2312"/>
          <w:sz w:val="28"/>
          <w:lang w:val="en-US"/>
        </w:rPr>
        <w:t xml:space="preserve">Review </w:t>
      </w:r>
      <w:r w:rsidR="00981A6C" w:rsidRPr="00D47AAA">
        <w:rPr>
          <w:rFonts w:eastAsia="仿宋_GB2312"/>
          <w:sz w:val="28"/>
          <w:lang w:val="en-US"/>
        </w:rPr>
        <w:t xml:space="preserve">of </w:t>
      </w:r>
      <w:r w:rsidRPr="00D47AAA">
        <w:rPr>
          <w:rFonts w:eastAsia="仿宋_GB2312"/>
          <w:sz w:val="28"/>
          <w:lang w:val="en-US"/>
        </w:rPr>
        <w:t>201</w:t>
      </w:r>
      <w:r w:rsidR="00261E06">
        <w:rPr>
          <w:rFonts w:eastAsia="仿宋_GB2312"/>
          <w:sz w:val="28"/>
          <w:lang w:val="en-US"/>
        </w:rPr>
        <w:t>8</w:t>
      </w:r>
      <w:r w:rsidRPr="00D47AAA">
        <w:rPr>
          <w:rFonts w:eastAsia="仿宋_GB2312"/>
          <w:sz w:val="28"/>
          <w:lang w:val="en-US"/>
        </w:rPr>
        <w:t xml:space="preserve"> </w:t>
      </w:r>
      <w:r w:rsidR="00981A6C" w:rsidRPr="00D47AAA">
        <w:rPr>
          <w:rFonts w:eastAsia="仿宋_GB2312"/>
          <w:sz w:val="28"/>
          <w:lang w:val="en-US"/>
        </w:rPr>
        <w:t xml:space="preserve">Financial </w:t>
      </w:r>
      <w:r w:rsidRPr="00D47AAA">
        <w:rPr>
          <w:rFonts w:eastAsia="仿宋_GB2312"/>
          <w:sz w:val="28"/>
          <w:lang w:val="en-US"/>
        </w:rPr>
        <w:t>Report</w:t>
      </w:r>
      <w:r w:rsidR="00C74A91">
        <w:rPr>
          <w:rFonts w:eastAsia="仿宋_GB2312"/>
          <w:sz w:val="28"/>
          <w:lang w:val="en-US"/>
        </w:rPr>
        <w:t>s</w:t>
      </w:r>
      <w:r w:rsidRPr="00D47AAA">
        <w:rPr>
          <w:rFonts w:eastAsia="仿宋_GB2312"/>
          <w:sz w:val="28"/>
          <w:lang w:val="en-US"/>
        </w:rPr>
        <w:t xml:space="preserve"> and 201</w:t>
      </w:r>
      <w:r w:rsidR="00261E06">
        <w:rPr>
          <w:rFonts w:eastAsia="仿宋_GB2312"/>
          <w:sz w:val="28"/>
          <w:lang w:val="en-US"/>
        </w:rPr>
        <w:t>9</w:t>
      </w:r>
      <w:r w:rsidRPr="00D47AAA">
        <w:rPr>
          <w:rFonts w:eastAsia="仿宋_GB2312"/>
          <w:sz w:val="28"/>
          <w:lang w:val="en-US"/>
        </w:rPr>
        <w:t xml:space="preserve"> </w:t>
      </w:r>
      <w:r w:rsidR="00981A6C" w:rsidRPr="00D47AAA">
        <w:rPr>
          <w:rFonts w:eastAsia="仿宋_GB2312"/>
          <w:sz w:val="28"/>
          <w:lang w:val="en-US"/>
        </w:rPr>
        <w:t xml:space="preserve">Annual </w:t>
      </w:r>
      <w:r w:rsidRPr="00D47AAA">
        <w:rPr>
          <w:rFonts w:eastAsia="仿宋_GB2312"/>
          <w:sz w:val="28"/>
          <w:lang w:val="en-US"/>
        </w:rPr>
        <w:t>Budget</w:t>
      </w:r>
    </w:p>
    <w:p w14:paraId="0292BCCA" w14:textId="3042A690" w:rsidR="009A6D9E" w:rsidRPr="009F306F" w:rsidRDefault="00F645FE" w:rsidP="008C4F69">
      <w:pPr>
        <w:spacing w:line="360" w:lineRule="auto"/>
        <w:jc w:val="both"/>
        <w:rPr>
          <w:b/>
          <w:color w:val="FF0000"/>
        </w:rPr>
      </w:pPr>
      <w:r w:rsidRPr="00D47AAA">
        <w:br w:type="page"/>
      </w:r>
    </w:p>
    <w:p w14:paraId="7D2F5F2E" w14:textId="77777777" w:rsidR="00373130" w:rsidRPr="00D47AAA" w:rsidRDefault="00F645FE" w:rsidP="007664D0">
      <w:pPr>
        <w:spacing w:line="360" w:lineRule="auto"/>
        <w:jc w:val="center"/>
        <w:rPr>
          <w:rFonts w:eastAsia="仿宋_GB2312"/>
          <w:b/>
          <w:bCs/>
          <w:sz w:val="28"/>
          <w:szCs w:val="28"/>
          <w:lang w:val="en-US"/>
        </w:rPr>
      </w:pPr>
      <w:r w:rsidRPr="00D47AAA">
        <w:rPr>
          <w:rFonts w:eastAsia="仿宋_GB2312"/>
          <w:b/>
          <w:bCs/>
          <w:sz w:val="28"/>
          <w:szCs w:val="28"/>
          <w:lang w:val="en-US"/>
        </w:rPr>
        <w:lastRenderedPageBreak/>
        <w:t>Follow-up Issues from Previous Board Meeting</w:t>
      </w:r>
    </w:p>
    <w:p w14:paraId="1D636585" w14:textId="5547C8E9" w:rsidR="00373130" w:rsidRPr="00D47AAA" w:rsidRDefault="00A15CC6" w:rsidP="007664D0">
      <w:pPr>
        <w:numPr>
          <w:ilvl w:val="0"/>
          <w:numId w:val="3"/>
        </w:numPr>
        <w:spacing w:line="360" w:lineRule="auto"/>
        <w:jc w:val="both"/>
        <w:rPr>
          <w:rFonts w:eastAsia="仿宋_GB2312"/>
          <w:b/>
          <w:bCs/>
          <w:sz w:val="28"/>
        </w:rPr>
      </w:pPr>
      <w:r>
        <w:rPr>
          <w:rFonts w:eastAsia="仿宋_GB2312"/>
          <w:b/>
          <w:bCs/>
          <w:sz w:val="28"/>
        </w:rPr>
        <w:t>Compensation Committee Member</w:t>
      </w:r>
      <w:r w:rsidR="007B4305">
        <w:rPr>
          <w:rFonts w:eastAsia="仿宋_GB2312"/>
          <w:b/>
          <w:bCs/>
          <w:sz w:val="28"/>
        </w:rPr>
        <w:t>s</w:t>
      </w:r>
      <w:r>
        <w:rPr>
          <w:rFonts w:eastAsia="仿宋_GB2312"/>
          <w:b/>
          <w:bCs/>
          <w:sz w:val="28"/>
        </w:rPr>
        <w:t xml:space="preserve"> and Supervisor</w:t>
      </w:r>
    </w:p>
    <w:p w14:paraId="2EBCAF22" w14:textId="1141C351" w:rsidR="001C3A17" w:rsidRPr="009A2AEF" w:rsidRDefault="00A15CC6" w:rsidP="006A7FD4">
      <w:pPr>
        <w:spacing w:line="360" w:lineRule="auto"/>
        <w:jc w:val="both"/>
        <w:rPr>
          <w:rFonts w:eastAsia="仿宋_GB2312"/>
          <w:bCs/>
          <w:sz w:val="28"/>
          <w:szCs w:val="28"/>
          <w:lang w:val="en-US"/>
        </w:rPr>
      </w:pPr>
      <w:r w:rsidRPr="009A2AEF">
        <w:rPr>
          <w:rFonts w:eastAsia="仿宋_GB2312"/>
          <w:bCs/>
          <w:sz w:val="28"/>
          <w:szCs w:val="28"/>
          <w:lang w:val="en-US"/>
        </w:rPr>
        <w:t>Mr. James Bulger</w:t>
      </w:r>
      <w:r w:rsidR="007B4305">
        <w:rPr>
          <w:rFonts w:eastAsia="仿宋_GB2312"/>
          <w:bCs/>
          <w:sz w:val="28"/>
          <w:szCs w:val="28"/>
          <w:lang w:val="en-US"/>
        </w:rPr>
        <w:t xml:space="preserve"> has been nominated and appointed</w:t>
      </w:r>
      <w:r w:rsidRPr="009A2AEF">
        <w:rPr>
          <w:rFonts w:eastAsia="仿宋_GB2312"/>
          <w:bCs/>
          <w:sz w:val="28"/>
          <w:szCs w:val="28"/>
          <w:lang w:val="en-US"/>
        </w:rPr>
        <w:t xml:space="preserve"> as a member of the </w:t>
      </w:r>
      <w:r w:rsidR="007B4305">
        <w:rPr>
          <w:rFonts w:eastAsia="仿宋_GB2312"/>
          <w:bCs/>
          <w:sz w:val="28"/>
          <w:szCs w:val="28"/>
          <w:lang w:val="en-US"/>
        </w:rPr>
        <w:t>C</w:t>
      </w:r>
      <w:r w:rsidR="007B4305" w:rsidRPr="009A2AEF">
        <w:rPr>
          <w:rFonts w:eastAsia="仿宋_GB2312"/>
          <w:bCs/>
          <w:sz w:val="28"/>
          <w:szCs w:val="28"/>
          <w:lang w:val="en-US"/>
        </w:rPr>
        <w:t xml:space="preserve">ompany's </w:t>
      </w:r>
      <w:r w:rsidRPr="009A2AEF">
        <w:rPr>
          <w:rFonts w:eastAsia="仿宋_GB2312"/>
          <w:bCs/>
          <w:sz w:val="28"/>
          <w:szCs w:val="28"/>
          <w:lang w:val="en-US"/>
        </w:rPr>
        <w:t>compensation committee</w:t>
      </w:r>
      <w:r w:rsidR="007B4305">
        <w:rPr>
          <w:rFonts w:eastAsia="仿宋_GB2312"/>
          <w:bCs/>
          <w:sz w:val="28"/>
          <w:szCs w:val="28"/>
          <w:lang w:val="en-US"/>
        </w:rPr>
        <w:t xml:space="preserve"> to replace </w:t>
      </w:r>
      <w:r w:rsidR="003A1F99">
        <w:rPr>
          <w:rFonts w:eastAsia="仿宋_GB2312"/>
          <w:bCs/>
          <w:sz w:val="28"/>
          <w:szCs w:val="28"/>
          <w:lang w:val="en-US"/>
        </w:rPr>
        <w:t>Devon Archer</w:t>
      </w:r>
      <w:r w:rsidRPr="009A2AEF">
        <w:rPr>
          <w:rFonts w:eastAsia="仿宋_GB2312"/>
          <w:bCs/>
          <w:sz w:val="28"/>
          <w:szCs w:val="28"/>
          <w:lang w:val="en-US"/>
        </w:rPr>
        <w:t>.</w:t>
      </w:r>
      <w:r w:rsidR="007B4305">
        <w:rPr>
          <w:rFonts w:eastAsia="仿宋_GB2312"/>
          <w:bCs/>
          <w:sz w:val="28"/>
          <w:szCs w:val="28"/>
          <w:lang w:val="en-US"/>
        </w:rPr>
        <w:t xml:space="preserve">  Current committee members consist of James Bulger, Andy Lu and</w:t>
      </w:r>
      <w:r w:rsidR="003A1F99">
        <w:rPr>
          <w:rFonts w:eastAsia="仿宋_GB2312"/>
          <w:bCs/>
          <w:sz w:val="28"/>
          <w:szCs w:val="28"/>
          <w:lang w:val="en-US"/>
        </w:rPr>
        <w:t xml:space="preserve"> Wang Jun</w:t>
      </w:r>
      <w:r w:rsidR="007B4305">
        <w:rPr>
          <w:rFonts w:eastAsia="仿宋_GB2312"/>
          <w:bCs/>
          <w:sz w:val="28"/>
          <w:szCs w:val="28"/>
          <w:lang w:val="en-US"/>
        </w:rPr>
        <w:t>.</w:t>
      </w:r>
    </w:p>
    <w:p w14:paraId="29568C10" w14:textId="682AF49E" w:rsidR="00373130" w:rsidRPr="009A2AEF" w:rsidRDefault="00A15CC6" w:rsidP="007664D0">
      <w:pPr>
        <w:spacing w:line="360" w:lineRule="auto"/>
        <w:jc w:val="both"/>
        <w:rPr>
          <w:rFonts w:eastAsia="仿宋_GB2312"/>
          <w:bCs/>
          <w:sz w:val="28"/>
          <w:szCs w:val="28"/>
          <w:lang w:val="en-US"/>
        </w:rPr>
      </w:pPr>
      <w:r w:rsidRPr="009A2AEF">
        <w:rPr>
          <w:rFonts w:eastAsia="仿宋_GB2312"/>
          <w:bCs/>
          <w:sz w:val="28"/>
          <w:szCs w:val="28"/>
          <w:lang w:val="en-US"/>
        </w:rPr>
        <w:t xml:space="preserve">Mr. Eric Schwerin </w:t>
      </w:r>
      <w:r w:rsidR="003016FD">
        <w:rPr>
          <w:rFonts w:eastAsia="仿宋_GB2312"/>
          <w:bCs/>
          <w:sz w:val="28"/>
          <w:szCs w:val="28"/>
          <w:lang w:val="en-US"/>
        </w:rPr>
        <w:t xml:space="preserve">tendered his </w:t>
      </w:r>
      <w:r w:rsidR="003016FD" w:rsidRPr="009A2AEF">
        <w:rPr>
          <w:rFonts w:eastAsia="仿宋_GB2312"/>
          <w:bCs/>
          <w:sz w:val="28"/>
          <w:szCs w:val="28"/>
          <w:lang w:val="en-US"/>
        </w:rPr>
        <w:t>resign</w:t>
      </w:r>
      <w:r w:rsidR="003016FD">
        <w:rPr>
          <w:rFonts w:eastAsia="仿宋_GB2312"/>
          <w:bCs/>
          <w:sz w:val="28"/>
          <w:szCs w:val="28"/>
          <w:lang w:val="en-US"/>
        </w:rPr>
        <w:t>ation</w:t>
      </w:r>
      <w:r w:rsidR="003016FD" w:rsidRPr="009A2AEF">
        <w:rPr>
          <w:rFonts w:eastAsia="仿宋_GB2312"/>
          <w:bCs/>
          <w:sz w:val="28"/>
          <w:szCs w:val="28"/>
          <w:lang w:val="en-US"/>
        </w:rPr>
        <w:t xml:space="preserve"> </w:t>
      </w:r>
      <w:r w:rsidR="00F80CEE" w:rsidRPr="009A2AEF">
        <w:rPr>
          <w:rFonts w:eastAsia="仿宋_GB2312"/>
          <w:bCs/>
          <w:sz w:val="28"/>
          <w:szCs w:val="28"/>
          <w:lang w:val="en-US"/>
        </w:rPr>
        <w:t xml:space="preserve">as </w:t>
      </w:r>
      <w:r w:rsidR="007B4305">
        <w:rPr>
          <w:rFonts w:eastAsia="仿宋_GB2312"/>
          <w:bCs/>
          <w:sz w:val="28"/>
          <w:szCs w:val="28"/>
          <w:lang w:val="en-US"/>
        </w:rPr>
        <w:t>the Company’s</w:t>
      </w:r>
      <w:r w:rsidR="007B4305" w:rsidRPr="009A2AEF">
        <w:rPr>
          <w:rFonts w:eastAsia="仿宋_GB2312"/>
          <w:bCs/>
          <w:sz w:val="28"/>
          <w:szCs w:val="28"/>
          <w:lang w:val="en-US"/>
        </w:rPr>
        <w:t xml:space="preserve"> </w:t>
      </w:r>
      <w:r w:rsidR="007B4305">
        <w:rPr>
          <w:rFonts w:eastAsia="仿宋_GB2312"/>
          <w:bCs/>
          <w:sz w:val="28"/>
          <w:szCs w:val="28"/>
          <w:lang w:val="en-US"/>
        </w:rPr>
        <w:t>S</w:t>
      </w:r>
      <w:r w:rsidR="007B4305" w:rsidRPr="009A2AEF">
        <w:rPr>
          <w:rFonts w:eastAsia="仿宋_GB2312"/>
          <w:bCs/>
          <w:sz w:val="28"/>
          <w:szCs w:val="28"/>
          <w:lang w:val="en-US"/>
        </w:rPr>
        <w:t>upervisor</w:t>
      </w:r>
      <w:r w:rsidR="007B4305">
        <w:rPr>
          <w:rFonts w:eastAsia="仿宋_GB2312"/>
          <w:bCs/>
          <w:sz w:val="28"/>
          <w:szCs w:val="28"/>
          <w:lang w:val="en-US"/>
        </w:rPr>
        <w:t xml:space="preserve"> </w:t>
      </w:r>
      <w:r w:rsidR="003016FD">
        <w:rPr>
          <w:rFonts w:eastAsia="仿宋_GB2312"/>
          <w:bCs/>
          <w:sz w:val="28"/>
          <w:szCs w:val="28"/>
          <w:lang w:val="en-US"/>
        </w:rPr>
        <w:t>on September 24, 2018</w:t>
      </w:r>
      <w:r w:rsidR="000C6715">
        <w:rPr>
          <w:rFonts w:eastAsia="仿宋_GB2312"/>
          <w:bCs/>
          <w:sz w:val="28"/>
          <w:szCs w:val="28"/>
          <w:lang w:val="en-US"/>
        </w:rPr>
        <w:t xml:space="preserve"> and a</w:t>
      </w:r>
      <w:r w:rsidR="008B2E40">
        <w:rPr>
          <w:rFonts w:eastAsia="仿宋_GB2312"/>
          <w:bCs/>
          <w:sz w:val="28"/>
          <w:szCs w:val="28"/>
          <w:lang w:val="en-US"/>
        </w:rPr>
        <w:t xml:space="preserve">ccording to the Company’s constitutional documents, Ample Harvest, Thornton, Skaneateles and Ulysses </w:t>
      </w:r>
      <w:r w:rsidR="000C6715">
        <w:rPr>
          <w:rFonts w:eastAsia="仿宋_GB2312"/>
          <w:bCs/>
          <w:sz w:val="28"/>
          <w:szCs w:val="28"/>
          <w:lang w:val="en-US"/>
        </w:rPr>
        <w:t>shall together</w:t>
      </w:r>
      <w:r w:rsidR="008B2E40">
        <w:rPr>
          <w:rFonts w:eastAsia="仿宋_GB2312"/>
          <w:bCs/>
          <w:sz w:val="28"/>
          <w:szCs w:val="28"/>
          <w:lang w:val="en-US"/>
        </w:rPr>
        <w:t xml:space="preserve"> nominate a replacement supervisor</w:t>
      </w:r>
      <w:r w:rsidR="000C6715">
        <w:rPr>
          <w:rFonts w:eastAsia="仿宋_GB2312"/>
          <w:bCs/>
          <w:sz w:val="28"/>
          <w:szCs w:val="28"/>
          <w:lang w:val="en-US"/>
        </w:rPr>
        <w:t>.</w:t>
      </w:r>
      <w:r w:rsidR="008B2E40">
        <w:rPr>
          <w:rFonts w:eastAsia="仿宋_GB2312"/>
          <w:bCs/>
          <w:sz w:val="28"/>
          <w:szCs w:val="28"/>
          <w:lang w:val="en-US"/>
        </w:rPr>
        <w:t xml:space="preserve"> </w:t>
      </w:r>
      <w:r w:rsidR="004874E2">
        <w:rPr>
          <w:rFonts w:eastAsia="仿宋_GB2312"/>
          <w:bCs/>
          <w:sz w:val="28"/>
          <w:szCs w:val="28"/>
          <w:lang w:val="en-US"/>
        </w:rPr>
        <w:t>The resignation of Eric Schwerin and the appointment of a replacement Supervisor will take effect upon the completion of filings and registrations with the relevant</w:t>
      </w:r>
      <w:r w:rsidR="000C6715">
        <w:rPr>
          <w:rFonts w:eastAsia="仿宋_GB2312"/>
          <w:bCs/>
          <w:sz w:val="28"/>
          <w:szCs w:val="28"/>
          <w:lang w:val="en-US"/>
        </w:rPr>
        <w:t xml:space="preserve"> counterpart of the State Administration of Industry and Commerce (“</w:t>
      </w:r>
      <w:r w:rsidR="000C6715" w:rsidRPr="005F5823">
        <w:rPr>
          <w:rFonts w:eastAsia="仿宋_GB2312"/>
          <w:b/>
          <w:bCs/>
          <w:sz w:val="28"/>
          <w:szCs w:val="28"/>
          <w:lang w:val="en-US"/>
        </w:rPr>
        <w:t>SAIC</w:t>
      </w:r>
      <w:r w:rsidR="000C6715">
        <w:rPr>
          <w:rFonts w:eastAsia="仿宋_GB2312"/>
          <w:bCs/>
          <w:sz w:val="28"/>
          <w:szCs w:val="28"/>
          <w:lang w:val="en-US"/>
        </w:rPr>
        <w:t>”)</w:t>
      </w:r>
      <w:r w:rsidR="004874E2">
        <w:rPr>
          <w:rFonts w:eastAsia="仿宋_GB2312"/>
          <w:bCs/>
          <w:sz w:val="28"/>
          <w:szCs w:val="28"/>
          <w:lang w:val="en-US"/>
        </w:rPr>
        <w:t>.</w:t>
      </w:r>
      <w:r w:rsidR="000C6715">
        <w:rPr>
          <w:rFonts w:eastAsia="仿宋_GB2312"/>
          <w:bCs/>
          <w:sz w:val="28"/>
          <w:szCs w:val="28"/>
          <w:lang w:val="en-US"/>
        </w:rPr>
        <w:t xml:space="preserve"> </w:t>
      </w:r>
      <w:r w:rsidR="004874E2">
        <w:rPr>
          <w:rFonts w:eastAsia="仿宋_GB2312"/>
          <w:bCs/>
          <w:sz w:val="28"/>
          <w:szCs w:val="28"/>
          <w:lang w:val="en-US"/>
        </w:rPr>
        <w:t xml:space="preserve"> T</w:t>
      </w:r>
      <w:r w:rsidR="008B2E40">
        <w:rPr>
          <w:rFonts w:eastAsia="仿宋_GB2312"/>
          <w:bCs/>
          <w:sz w:val="28"/>
          <w:szCs w:val="28"/>
          <w:lang w:val="en-US"/>
        </w:rPr>
        <w:t xml:space="preserve">he Company will </w:t>
      </w:r>
      <w:r w:rsidR="00623C5E">
        <w:rPr>
          <w:rFonts w:eastAsia="仿宋_GB2312"/>
          <w:bCs/>
          <w:sz w:val="28"/>
          <w:szCs w:val="28"/>
          <w:lang w:val="en-US"/>
        </w:rPr>
        <w:t>process</w:t>
      </w:r>
      <w:r w:rsidR="008B2E40">
        <w:rPr>
          <w:rFonts w:eastAsia="仿宋_GB2312"/>
          <w:bCs/>
          <w:sz w:val="28"/>
          <w:szCs w:val="28"/>
          <w:lang w:val="en-US"/>
        </w:rPr>
        <w:t xml:space="preserve"> the necessary</w:t>
      </w:r>
      <w:r w:rsidR="003016FD">
        <w:rPr>
          <w:rFonts w:eastAsia="仿宋_GB2312"/>
          <w:bCs/>
          <w:sz w:val="28"/>
          <w:szCs w:val="28"/>
          <w:lang w:val="en-US"/>
        </w:rPr>
        <w:t xml:space="preserve"> </w:t>
      </w:r>
      <w:r w:rsidR="000C6715">
        <w:rPr>
          <w:rFonts w:eastAsia="仿宋_GB2312"/>
          <w:bCs/>
          <w:sz w:val="28"/>
          <w:szCs w:val="28"/>
          <w:lang w:val="en-US"/>
        </w:rPr>
        <w:t xml:space="preserve">SAIC </w:t>
      </w:r>
      <w:r w:rsidR="003016FD">
        <w:rPr>
          <w:rFonts w:eastAsia="仿宋_GB2312"/>
          <w:bCs/>
          <w:sz w:val="28"/>
          <w:szCs w:val="28"/>
          <w:lang w:val="en-US"/>
        </w:rPr>
        <w:t>registration and filing amendments</w:t>
      </w:r>
      <w:r w:rsidR="004874E2">
        <w:rPr>
          <w:rFonts w:eastAsia="仿宋_GB2312"/>
          <w:bCs/>
          <w:sz w:val="28"/>
          <w:szCs w:val="28"/>
          <w:lang w:val="en-US"/>
        </w:rPr>
        <w:t xml:space="preserve"> immediately upon the appointment of a new Supervisor.</w:t>
      </w:r>
      <w:r w:rsidR="00601922">
        <w:rPr>
          <w:rFonts w:eastAsia="仿宋_GB2312"/>
          <w:bCs/>
          <w:sz w:val="28"/>
          <w:szCs w:val="28"/>
          <w:lang w:val="en-US"/>
        </w:rPr>
        <w:t xml:space="preserve"> </w:t>
      </w:r>
    </w:p>
    <w:p w14:paraId="78480C37" w14:textId="725BF123" w:rsidR="00373130" w:rsidRPr="00D47AAA" w:rsidRDefault="00623C5E" w:rsidP="007664D0">
      <w:pPr>
        <w:numPr>
          <w:ilvl w:val="0"/>
          <w:numId w:val="3"/>
        </w:numPr>
        <w:spacing w:line="360" w:lineRule="auto"/>
        <w:jc w:val="both"/>
        <w:rPr>
          <w:rFonts w:eastAsia="仿宋_GB2312"/>
          <w:b/>
          <w:bCs/>
          <w:sz w:val="28"/>
        </w:rPr>
      </w:pPr>
      <w:r>
        <w:rPr>
          <w:rFonts w:eastAsia="仿宋_GB2312"/>
          <w:b/>
          <w:bCs/>
          <w:sz w:val="28"/>
        </w:rPr>
        <w:t>Staff Changes</w:t>
      </w:r>
    </w:p>
    <w:p w14:paraId="7148A4E4" w14:textId="74E6DCD3" w:rsidR="007B4A74" w:rsidRDefault="0036558C" w:rsidP="007664D0">
      <w:pPr>
        <w:spacing w:line="360" w:lineRule="auto"/>
        <w:jc w:val="both"/>
        <w:rPr>
          <w:rFonts w:eastAsia="仿宋_GB2312"/>
          <w:bCs/>
          <w:sz w:val="28"/>
          <w:szCs w:val="28"/>
          <w:lang w:val="en-US"/>
        </w:rPr>
      </w:pPr>
      <w:r w:rsidRPr="006A7FD4">
        <w:rPr>
          <w:rFonts w:eastAsia="仿宋_GB2312"/>
          <w:bCs/>
          <w:sz w:val="28"/>
          <w:szCs w:val="28"/>
          <w:lang w:val="en-US"/>
        </w:rPr>
        <w:t xml:space="preserve">Mr. Xia Yu and </w:t>
      </w:r>
      <w:r>
        <w:rPr>
          <w:rFonts w:eastAsia="仿宋_GB2312"/>
          <w:bCs/>
          <w:sz w:val="28"/>
          <w:szCs w:val="28"/>
          <w:lang w:val="en-US"/>
        </w:rPr>
        <w:t xml:space="preserve">Mr. </w:t>
      </w:r>
      <w:r w:rsidRPr="00924D7C">
        <w:rPr>
          <w:rFonts w:eastAsia="仿宋_GB2312"/>
          <w:bCs/>
          <w:sz w:val="28"/>
          <w:szCs w:val="28"/>
          <w:lang w:val="en-US"/>
        </w:rPr>
        <w:t xml:space="preserve">Liu </w:t>
      </w:r>
      <w:proofErr w:type="spellStart"/>
      <w:r>
        <w:rPr>
          <w:rFonts w:eastAsia="仿宋_GB2312"/>
          <w:bCs/>
          <w:sz w:val="28"/>
          <w:szCs w:val="28"/>
          <w:lang w:val="en-US"/>
        </w:rPr>
        <w:t>Zhe</w:t>
      </w:r>
      <w:proofErr w:type="spellEnd"/>
      <w:r w:rsidRPr="006A7FD4">
        <w:rPr>
          <w:rFonts w:eastAsia="仿宋_GB2312"/>
          <w:bCs/>
          <w:sz w:val="28"/>
          <w:szCs w:val="28"/>
          <w:lang w:val="en-US"/>
        </w:rPr>
        <w:t xml:space="preserve"> </w:t>
      </w:r>
      <w:r>
        <w:rPr>
          <w:rFonts w:eastAsia="仿宋_GB2312"/>
          <w:bCs/>
          <w:sz w:val="28"/>
          <w:szCs w:val="28"/>
          <w:lang w:val="en-US"/>
        </w:rPr>
        <w:t xml:space="preserve">have </w:t>
      </w:r>
      <w:r w:rsidR="00E90ABB">
        <w:rPr>
          <w:rFonts w:eastAsia="仿宋_GB2312"/>
          <w:bCs/>
          <w:sz w:val="28"/>
          <w:szCs w:val="28"/>
          <w:lang w:val="en-US"/>
        </w:rPr>
        <w:t xml:space="preserve">left </w:t>
      </w:r>
      <w:r w:rsidR="00623C5E">
        <w:rPr>
          <w:rFonts w:eastAsia="仿宋_GB2312"/>
          <w:bCs/>
          <w:sz w:val="28"/>
          <w:szCs w:val="28"/>
          <w:lang w:val="en-US"/>
        </w:rPr>
        <w:t xml:space="preserve">the Company </w:t>
      </w:r>
      <w:r w:rsidRPr="006A7FD4">
        <w:rPr>
          <w:rFonts w:eastAsia="仿宋_GB2312"/>
          <w:bCs/>
          <w:sz w:val="28"/>
          <w:szCs w:val="28"/>
          <w:lang w:val="en-US"/>
        </w:rPr>
        <w:t xml:space="preserve">for personal reasons. </w:t>
      </w:r>
      <w:r w:rsidR="00623C5E">
        <w:rPr>
          <w:rFonts w:eastAsia="仿宋_GB2312"/>
          <w:bCs/>
          <w:sz w:val="28"/>
          <w:szCs w:val="28"/>
          <w:lang w:val="en-US"/>
        </w:rPr>
        <w:t xml:space="preserve"> Their departure will not affect ongoing projects or management of portfolio companies.  </w:t>
      </w:r>
    </w:p>
    <w:p w14:paraId="0AEAC5ED" w14:textId="06B7FF6F" w:rsidR="00C74A91" w:rsidRPr="002A222B" w:rsidRDefault="006D0937" w:rsidP="007664D0">
      <w:pPr>
        <w:numPr>
          <w:ilvl w:val="0"/>
          <w:numId w:val="3"/>
        </w:numPr>
        <w:spacing w:line="360" w:lineRule="auto"/>
        <w:jc w:val="both"/>
        <w:rPr>
          <w:rFonts w:eastAsia="仿宋_GB2312"/>
          <w:b/>
          <w:bCs/>
          <w:sz w:val="28"/>
        </w:rPr>
      </w:pPr>
      <w:r>
        <w:rPr>
          <w:rFonts w:eastAsia="仿宋_GB2312"/>
          <w:b/>
          <w:bCs/>
          <w:sz w:val="28"/>
        </w:rPr>
        <w:t xml:space="preserve">BHR </w:t>
      </w:r>
      <w:r w:rsidR="00C74A91" w:rsidRPr="002A222B">
        <w:rPr>
          <w:rFonts w:eastAsia="仿宋_GB2312"/>
          <w:b/>
          <w:bCs/>
          <w:sz w:val="28"/>
        </w:rPr>
        <w:t>Subsidiaries and SPV Registration</w:t>
      </w:r>
    </w:p>
    <w:p w14:paraId="245665F5" w14:textId="3093075E" w:rsidR="00033BB7" w:rsidRPr="00033BB7" w:rsidRDefault="00033BB7" w:rsidP="007664D0">
      <w:pPr>
        <w:spacing w:line="360" w:lineRule="auto"/>
        <w:jc w:val="both"/>
        <w:rPr>
          <w:rFonts w:eastAsia="仿宋_GB2312"/>
          <w:bCs/>
          <w:sz w:val="28"/>
        </w:rPr>
      </w:pPr>
      <w:r w:rsidRPr="00033BB7">
        <w:rPr>
          <w:rFonts w:eastAsia="仿宋_GB2312"/>
          <w:bCs/>
          <w:sz w:val="28"/>
        </w:rPr>
        <w:lastRenderedPageBreak/>
        <w:t>S</w:t>
      </w:r>
      <w:r>
        <w:rPr>
          <w:rFonts w:eastAsia="仿宋_GB2312"/>
          <w:bCs/>
          <w:sz w:val="28"/>
        </w:rPr>
        <w:t xml:space="preserve">ince the </w:t>
      </w:r>
      <w:r w:rsidR="00BB133D">
        <w:rPr>
          <w:rFonts w:eastAsia="仿宋_GB2312"/>
          <w:bCs/>
          <w:sz w:val="28"/>
        </w:rPr>
        <w:t>previous</w:t>
      </w:r>
      <w:r w:rsidR="001F3101">
        <w:rPr>
          <w:rFonts w:eastAsia="仿宋_GB2312"/>
          <w:bCs/>
          <w:sz w:val="28"/>
        </w:rPr>
        <w:t xml:space="preserve"> </w:t>
      </w:r>
      <w:r w:rsidRPr="00033BB7">
        <w:rPr>
          <w:rFonts w:eastAsia="仿宋_GB2312"/>
          <w:bCs/>
          <w:sz w:val="28"/>
        </w:rPr>
        <w:t xml:space="preserve">Board </w:t>
      </w:r>
      <w:r>
        <w:rPr>
          <w:rFonts w:eastAsia="仿宋_GB2312"/>
          <w:bCs/>
          <w:sz w:val="28"/>
        </w:rPr>
        <w:t>Meeting</w:t>
      </w:r>
      <w:r w:rsidRPr="00033BB7">
        <w:rPr>
          <w:rFonts w:eastAsia="仿宋_GB2312"/>
          <w:bCs/>
          <w:sz w:val="28"/>
        </w:rPr>
        <w:t xml:space="preserve"> </w:t>
      </w:r>
      <w:r w:rsidR="006D0937">
        <w:rPr>
          <w:rFonts w:eastAsia="仿宋_GB2312"/>
          <w:bCs/>
          <w:sz w:val="28"/>
        </w:rPr>
        <w:t xml:space="preserve">held </w:t>
      </w:r>
      <w:r w:rsidRPr="00033BB7">
        <w:rPr>
          <w:rFonts w:eastAsia="仿宋_GB2312"/>
          <w:bCs/>
          <w:sz w:val="28"/>
        </w:rPr>
        <w:t xml:space="preserve">on </w:t>
      </w:r>
      <w:r w:rsidR="00D73475">
        <w:rPr>
          <w:rFonts w:eastAsia="仿宋_GB2312"/>
          <w:bCs/>
          <w:sz w:val="28"/>
        </w:rPr>
        <w:t>February</w:t>
      </w:r>
      <w:r w:rsidRPr="00033BB7">
        <w:rPr>
          <w:rFonts w:eastAsia="仿宋_GB2312"/>
          <w:bCs/>
          <w:sz w:val="28"/>
        </w:rPr>
        <w:t xml:space="preserve"> </w:t>
      </w:r>
      <w:r w:rsidR="00D73475">
        <w:rPr>
          <w:rFonts w:eastAsia="仿宋_GB2312"/>
          <w:bCs/>
          <w:sz w:val="28"/>
        </w:rPr>
        <w:t>1</w:t>
      </w:r>
      <w:r w:rsidRPr="00033BB7">
        <w:rPr>
          <w:rFonts w:eastAsia="仿宋_GB2312"/>
          <w:bCs/>
          <w:sz w:val="28"/>
        </w:rPr>
        <w:t>, 201</w:t>
      </w:r>
      <w:r w:rsidR="00D73475">
        <w:rPr>
          <w:rFonts w:eastAsia="仿宋_GB2312"/>
          <w:bCs/>
          <w:sz w:val="28"/>
        </w:rPr>
        <w:t>8</w:t>
      </w:r>
      <w:r w:rsidRPr="00033BB7">
        <w:rPr>
          <w:rFonts w:eastAsia="仿宋_GB2312"/>
          <w:bCs/>
          <w:sz w:val="28"/>
        </w:rPr>
        <w:t xml:space="preserve">, the Company </w:t>
      </w:r>
      <w:r>
        <w:rPr>
          <w:rFonts w:eastAsia="仿宋_GB2312"/>
          <w:bCs/>
          <w:sz w:val="28"/>
        </w:rPr>
        <w:t>has</w:t>
      </w:r>
      <w:r w:rsidR="005220AE">
        <w:rPr>
          <w:rFonts w:eastAsia="仿宋_GB2312"/>
          <w:bCs/>
          <w:sz w:val="28"/>
        </w:rPr>
        <w:t xml:space="preserve"> not</w:t>
      </w:r>
      <w:r>
        <w:rPr>
          <w:rFonts w:eastAsia="仿宋_GB2312"/>
          <w:bCs/>
          <w:sz w:val="28"/>
        </w:rPr>
        <w:t xml:space="preserve"> </w:t>
      </w:r>
      <w:r w:rsidRPr="00033BB7">
        <w:rPr>
          <w:rFonts w:eastAsia="仿宋_GB2312"/>
          <w:bCs/>
          <w:sz w:val="28"/>
        </w:rPr>
        <w:t xml:space="preserve">registered </w:t>
      </w:r>
      <w:r w:rsidR="005220AE">
        <w:rPr>
          <w:rFonts w:eastAsia="仿宋_GB2312"/>
          <w:bCs/>
          <w:sz w:val="28"/>
        </w:rPr>
        <w:t>any</w:t>
      </w:r>
      <w:r w:rsidR="005220AE" w:rsidRPr="005220AE">
        <w:rPr>
          <w:rFonts w:eastAsia="仿宋_GB2312"/>
          <w:bCs/>
          <w:sz w:val="28"/>
        </w:rPr>
        <w:t xml:space="preserve"> </w:t>
      </w:r>
      <w:r w:rsidR="005220AE">
        <w:rPr>
          <w:rFonts w:eastAsia="仿宋_GB2312"/>
          <w:bCs/>
          <w:sz w:val="28"/>
        </w:rPr>
        <w:t>non-PRC entities</w:t>
      </w:r>
      <w:r w:rsidR="00FA341E">
        <w:rPr>
          <w:rFonts w:eastAsia="仿宋_GB2312"/>
          <w:bCs/>
          <w:sz w:val="28"/>
        </w:rPr>
        <w:t>.</w:t>
      </w:r>
      <w:r w:rsidR="005220AE">
        <w:rPr>
          <w:rFonts w:eastAsia="仿宋_GB2312"/>
          <w:bCs/>
          <w:sz w:val="28"/>
        </w:rPr>
        <w:t xml:space="preserve"> </w:t>
      </w:r>
      <w:r w:rsidR="00FA341E">
        <w:rPr>
          <w:rFonts w:eastAsia="仿宋_GB2312"/>
          <w:bCs/>
          <w:sz w:val="28"/>
        </w:rPr>
        <w:t xml:space="preserve">The </w:t>
      </w:r>
      <w:r w:rsidR="001F3101">
        <w:rPr>
          <w:rFonts w:eastAsia="仿宋_GB2312"/>
          <w:bCs/>
          <w:sz w:val="28"/>
        </w:rPr>
        <w:t xml:space="preserve">new </w:t>
      </w:r>
      <w:r w:rsidR="00F316C3">
        <w:rPr>
          <w:rFonts w:eastAsia="仿宋_GB2312"/>
          <w:bCs/>
          <w:sz w:val="28"/>
        </w:rPr>
        <w:t>PRC</w:t>
      </w:r>
      <w:r w:rsidR="005220AE">
        <w:rPr>
          <w:rFonts w:eastAsia="仿宋_GB2312"/>
          <w:bCs/>
          <w:sz w:val="28"/>
        </w:rPr>
        <w:t xml:space="preserve"> </w:t>
      </w:r>
      <w:r w:rsidR="00BC5782">
        <w:rPr>
          <w:rFonts w:eastAsia="仿宋_GB2312"/>
          <w:bCs/>
          <w:sz w:val="28"/>
        </w:rPr>
        <w:t>entities</w:t>
      </w:r>
      <w:r w:rsidR="00FA341E">
        <w:rPr>
          <w:rFonts w:eastAsia="仿宋_GB2312"/>
          <w:bCs/>
          <w:sz w:val="28"/>
        </w:rPr>
        <w:t xml:space="preserve"> registered </w:t>
      </w:r>
      <w:r w:rsidR="001F3101">
        <w:rPr>
          <w:rFonts w:eastAsia="仿宋_GB2312"/>
          <w:bCs/>
          <w:sz w:val="28"/>
        </w:rPr>
        <w:t xml:space="preserve">are </w:t>
      </w:r>
      <w:r w:rsidR="00FA341E">
        <w:rPr>
          <w:rFonts w:eastAsia="仿宋_GB2312"/>
          <w:bCs/>
          <w:sz w:val="28"/>
        </w:rPr>
        <w:t>as follow</w:t>
      </w:r>
      <w:r w:rsidR="001F3101">
        <w:rPr>
          <w:rFonts w:eastAsia="仿宋_GB2312"/>
          <w:bCs/>
          <w:sz w:val="28"/>
        </w:rPr>
        <w:t>s</w:t>
      </w:r>
      <w:r w:rsidR="00BC5782">
        <w:rPr>
          <w:rFonts w:eastAsia="仿宋_GB2312"/>
          <w:bCs/>
          <w:sz w:val="28"/>
        </w:rPr>
        <w:t>:</w:t>
      </w:r>
    </w:p>
    <w:p w14:paraId="7E1DE4E0" w14:textId="138E5D05" w:rsidR="00033BB7" w:rsidRPr="00033BB7" w:rsidRDefault="00F316C3" w:rsidP="007664D0">
      <w:pPr>
        <w:spacing w:line="360" w:lineRule="auto"/>
        <w:jc w:val="both"/>
        <w:rPr>
          <w:rFonts w:eastAsia="仿宋_GB2312"/>
          <w:bCs/>
          <w:sz w:val="28"/>
        </w:rPr>
      </w:pPr>
      <w:r>
        <w:rPr>
          <w:rFonts w:eastAsia="仿宋_GB2312"/>
          <w:b/>
          <w:bCs/>
          <w:sz w:val="28"/>
        </w:rPr>
        <w:t>PRC</w:t>
      </w:r>
      <w:r w:rsidRPr="00EE46E3">
        <w:rPr>
          <w:rFonts w:eastAsia="仿宋_GB2312"/>
          <w:b/>
          <w:bCs/>
          <w:sz w:val="28"/>
        </w:rPr>
        <w:t xml:space="preserve"> </w:t>
      </w:r>
      <w:r w:rsidR="007A3986" w:rsidRPr="00EE46E3">
        <w:rPr>
          <w:rFonts w:eastAsia="仿宋_GB2312"/>
          <w:b/>
          <w:bCs/>
          <w:sz w:val="28"/>
        </w:rPr>
        <w:t>entities</w:t>
      </w:r>
      <w:r w:rsidR="00033BB7" w:rsidRPr="00EE46E3">
        <w:rPr>
          <w:rFonts w:eastAsia="仿宋_GB2312"/>
          <w:b/>
          <w:bCs/>
          <w:sz w:val="28"/>
        </w:rPr>
        <w:t>:</w:t>
      </w:r>
      <w:r w:rsidR="00033BB7" w:rsidRPr="00033BB7">
        <w:rPr>
          <w:rFonts w:eastAsia="仿宋_GB2312"/>
          <w:bCs/>
          <w:sz w:val="28"/>
        </w:rPr>
        <w:t xml:space="preserve"> </w:t>
      </w:r>
      <w:r w:rsidR="00BB133D">
        <w:rPr>
          <w:rFonts w:eastAsia="仿宋_GB2312"/>
          <w:bCs/>
          <w:sz w:val="28"/>
        </w:rPr>
        <w:t xml:space="preserve">4 </w:t>
      </w:r>
      <w:r w:rsidR="005220AE">
        <w:rPr>
          <w:rFonts w:eastAsia="仿宋_GB2312"/>
          <w:bCs/>
          <w:sz w:val="28"/>
        </w:rPr>
        <w:t>deal</w:t>
      </w:r>
      <w:r w:rsidR="00D73475">
        <w:rPr>
          <w:rFonts w:eastAsia="仿宋_GB2312"/>
          <w:bCs/>
          <w:sz w:val="28"/>
        </w:rPr>
        <w:t xml:space="preserve"> funds in Ningbo, Zhejiang Province,</w:t>
      </w:r>
      <w:r w:rsidR="00E12940">
        <w:rPr>
          <w:rFonts w:eastAsia="仿宋_GB2312"/>
          <w:bCs/>
          <w:sz w:val="28"/>
        </w:rPr>
        <w:t xml:space="preserve"> 2 indirect </w:t>
      </w:r>
      <w:r w:rsidR="00C664FE">
        <w:rPr>
          <w:rFonts w:eastAsia="仿宋_GB2312"/>
          <w:bCs/>
          <w:sz w:val="28"/>
        </w:rPr>
        <w:t>subsidiaries in Shanghai.</w:t>
      </w:r>
    </w:p>
    <w:p w14:paraId="5BE27097" w14:textId="6102D8B5" w:rsidR="00033BB7" w:rsidRPr="001100D8" w:rsidRDefault="009E5B30" w:rsidP="007664D0">
      <w:pPr>
        <w:spacing w:line="360" w:lineRule="auto"/>
        <w:jc w:val="both"/>
        <w:rPr>
          <w:rFonts w:eastAsia="仿宋_GB2312"/>
          <w:bCs/>
          <w:sz w:val="28"/>
        </w:rPr>
      </w:pPr>
      <w:r>
        <w:rPr>
          <w:rFonts w:eastAsia="仿宋_GB2312"/>
          <w:bCs/>
          <w:sz w:val="28"/>
        </w:rPr>
        <w:t xml:space="preserve">The full list of BHR’s </w:t>
      </w:r>
      <w:r w:rsidR="004B2B8E">
        <w:rPr>
          <w:rFonts w:eastAsia="仿宋_GB2312"/>
          <w:bCs/>
          <w:sz w:val="28"/>
        </w:rPr>
        <w:t xml:space="preserve">registered entities </w:t>
      </w:r>
      <w:r>
        <w:rPr>
          <w:rFonts w:eastAsia="仿宋_GB2312"/>
          <w:bCs/>
          <w:sz w:val="28"/>
        </w:rPr>
        <w:t xml:space="preserve">(including subsidiaries and affiliated funds) as of the date hereof </w:t>
      </w:r>
      <w:r w:rsidR="004B2B8E">
        <w:rPr>
          <w:rFonts w:eastAsia="仿宋_GB2312"/>
          <w:bCs/>
          <w:sz w:val="28"/>
        </w:rPr>
        <w:t xml:space="preserve">are </w:t>
      </w:r>
      <w:r w:rsidR="00033BB7" w:rsidRPr="00033BB7">
        <w:rPr>
          <w:rFonts w:eastAsia="仿宋_GB2312"/>
          <w:bCs/>
          <w:sz w:val="28"/>
        </w:rPr>
        <w:t xml:space="preserve">summarized </w:t>
      </w:r>
      <w:r>
        <w:rPr>
          <w:rFonts w:eastAsia="仿宋_GB2312"/>
          <w:bCs/>
          <w:sz w:val="28"/>
        </w:rPr>
        <w:t>below</w:t>
      </w:r>
      <w:r w:rsidR="00033BB7" w:rsidRPr="00033BB7">
        <w:rPr>
          <w:rFonts w:eastAsia="仿宋_GB2312"/>
          <w:bCs/>
          <w:sz w:val="28"/>
        </w:rPr>
        <w:t>:</w:t>
      </w:r>
    </w:p>
    <w:p w14:paraId="0039A338" w14:textId="77777777" w:rsidR="00EE46E3" w:rsidRDefault="00EE46E3" w:rsidP="008C4F69">
      <w:pPr>
        <w:jc w:val="both"/>
        <w:rPr>
          <w:rFonts w:eastAsia="仿宋_GB2312"/>
          <w:b/>
          <w:bCs/>
          <w:sz w:val="28"/>
        </w:rPr>
        <w:sectPr w:rsidR="00EE46E3">
          <w:headerReference w:type="default" r:id="rId8"/>
          <w:footerReference w:type="default" r:id="rId9"/>
          <w:pgSz w:w="11906" w:h="16838"/>
          <w:pgMar w:top="1440" w:right="1800" w:bottom="1440" w:left="1800" w:header="851" w:footer="992" w:gutter="0"/>
          <w:cols w:space="425"/>
          <w:docGrid w:type="lines" w:linePitch="312"/>
        </w:sectPr>
      </w:pPr>
    </w:p>
    <w:p w14:paraId="27A4A426" w14:textId="43F1B9C7" w:rsidR="00B643C8" w:rsidRPr="00B643C8" w:rsidRDefault="00B643C8" w:rsidP="009A2AEF">
      <w:pPr>
        <w:spacing w:afterLines="50" w:after="163"/>
        <w:ind w:firstLine="567"/>
        <w:jc w:val="center"/>
        <w:rPr>
          <w:rFonts w:eastAsia="仿宋_GB2312"/>
          <w:b/>
          <w:bCs/>
          <w:sz w:val="28"/>
        </w:rPr>
      </w:pPr>
      <w:r w:rsidRPr="00B643C8">
        <w:rPr>
          <w:rFonts w:eastAsia="仿宋_GB2312"/>
          <w:b/>
          <w:bCs/>
          <w:sz w:val="28"/>
          <w:lang w:val="en-US"/>
        </w:rPr>
        <w:lastRenderedPageBreak/>
        <w:t xml:space="preserve">Summary of </w:t>
      </w:r>
      <w:r w:rsidR="009E5B30">
        <w:rPr>
          <w:rFonts w:eastAsia="仿宋_GB2312"/>
          <w:b/>
          <w:bCs/>
          <w:sz w:val="28"/>
          <w:lang w:val="en-US"/>
        </w:rPr>
        <w:t>BHR Subsidiaries and Managed Funds</w:t>
      </w:r>
    </w:p>
    <w:tbl>
      <w:tblPr>
        <w:tblW w:w="13750" w:type="dxa"/>
        <w:tblInd w:w="-5" w:type="dxa"/>
        <w:tblLayout w:type="fixed"/>
        <w:tblLook w:val="04A0" w:firstRow="1" w:lastRow="0" w:firstColumn="1" w:lastColumn="0" w:noHBand="0" w:noVBand="1"/>
      </w:tblPr>
      <w:tblGrid>
        <w:gridCol w:w="948"/>
        <w:gridCol w:w="1906"/>
        <w:gridCol w:w="3103"/>
        <w:gridCol w:w="2974"/>
        <w:gridCol w:w="1417"/>
        <w:gridCol w:w="957"/>
        <w:gridCol w:w="2445"/>
      </w:tblGrid>
      <w:tr w:rsidR="00E93C81" w:rsidRPr="00B643C8" w14:paraId="671764BD" w14:textId="77777777" w:rsidTr="005F5823">
        <w:trPr>
          <w:trHeight w:val="277"/>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185F" w14:textId="77777777" w:rsidR="00B643C8" w:rsidRPr="00B643C8" w:rsidRDefault="00B643C8" w:rsidP="00B643C8">
            <w:pPr>
              <w:spacing w:line="200" w:lineRule="exact"/>
              <w:jc w:val="center"/>
              <w:rPr>
                <w:rFonts w:eastAsia="仿宋"/>
                <w:b/>
                <w:bCs/>
                <w:color w:val="000000"/>
                <w:sz w:val="18"/>
                <w:szCs w:val="18"/>
              </w:rPr>
            </w:pPr>
          </w:p>
        </w:tc>
        <w:tc>
          <w:tcPr>
            <w:tcW w:w="1906" w:type="dxa"/>
            <w:tcBorders>
              <w:top w:val="single" w:sz="4" w:space="0" w:color="auto"/>
              <w:left w:val="nil"/>
              <w:bottom w:val="single" w:sz="4" w:space="0" w:color="auto"/>
              <w:right w:val="single" w:sz="4" w:space="0" w:color="auto"/>
            </w:tcBorders>
            <w:shd w:val="clear" w:color="auto" w:fill="auto"/>
            <w:vAlign w:val="center"/>
            <w:hideMark/>
          </w:tcPr>
          <w:p w14:paraId="39C5FB29" w14:textId="0034A3CB" w:rsidR="00B643C8" w:rsidRPr="00B643C8" w:rsidRDefault="001164F1" w:rsidP="009E5B30">
            <w:pPr>
              <w:spacing w:line="200" w:lineRule="exact"/>
              <w:jc w:val="center"/>
              <w:rPr>
                <w:rFonts w:eastAsia="仿宋"/>
                <w:b/>
                <w:bCs/>
                <w:color w:val="000000"/>
                <w:sz w:val="18"/>
                <w:szCs w:val="18"/>
              </w:rPr>
            </w:pPr>
            <w:r>
              <w:rPr>
                <w:rFonts w:eastAsia="仿宋"/>
                <w:b/>
                <w:bCs/>
                <w:color w:val="000000"/>
                <w:sz w:val="18"/>
                <w:szCs w:val="18"/>
              </w:rPr>
              <w:t>Category</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7B41171A" w14:textId="1190577D" w:rsidR="00B643C8" w:rsidRPr="00B643C8" w:rsidRDefault="00A26F8C" w:rsidP="00924D7C">
            <w:pPr>
              <w:spacing w:line="200" w:lineRule="exact"/>
              <w:jc w:val="center"/>
              <w:rPr>
                <w:rFonts w:eastAsia="仿宋"/>
                <w:b/>
                <w:bCs/>
                <w:color w:val="000000"/>
                <w:sz w:val="18"/>
                <w:szCs w:val="18"/>
              </w:rPr>
            </w:pPr>
            <w:r>
              <w:rPr>
                <w:rFonts w:eastAsia="仿宋"/>
                <w:b/>
                <w:bCs/>
                <w:color w:val="000000"/>
                <w:sz w:val="18"/>
                <w:szCs w:val="18"/>
              </w:rPr>
              <w:t>N</w:t>
            </w:r>
            <w:r w:rsidR="00E93C81">
              <w:rPr>
                <w:rFonts w:eastAsia="仿宋"/>
                <w:b/>
                <w:bCs/>
                <w:color w:val="000000"/>
                <w:sz w:val="18"/>
                <w:szCs w:val="18"/>
              </w:rPr>
              <w:t>aming Rule</w:t>
            </w:r>
          </w:p>
        </w:tc>
        <w:tc>
          <w:tcPr>
            <w:tcW w:w="2974" w:type="dxa"/>
            <w:tcBorders>
              <w:top w:val="single" w:sz="4" w:space="0" w:color="auto"/>
              <w:left w:val="nil"/>
              <w:bottom w:val="single" w:sz="4" w:space="0" w:color="auto"/>
              <w:right w:val="single" w:sz="4" w:space="0" w:color="auto"/>
            </w:tcBorders>
            <w:shd w:val="clear" w:color="auto" w:fill="auto"/>
            <w:vAlign w:val="center"/>
            <w:hideMark/>
          </w:tcPr>
          <w:p w14:paraId="0B203E07" w14:textId="4E987CE3" w:rsidR="00B643C8" w:rsidRPr="00B643C8" w:rsidRDefault="00B643C8" w:rsidP="00B643C8">
            <w:pPr>
              <w:spacing w:line="200" w:lineRule="exact"/>
              <w:jc w:val="center"/>
              <w:rPr>
                <w:rFonts w:eastAsia="仿宋"/>
                <w:b/>
                <w:bCs/>
                <w:color w:val="000000"/>
                <w:sz w:val="18"/>
                <w:szCs w:val="18"/>
              </w:rPr>
            </w:pPr>
            <w:r w:rsidRPr="00B643C8">
              <w:rPr>
                <w:rFonts w:eastAsia="仿宋" w:hint="eastAsia"/>
                <w:b/>
                <w:bCs/>
                <w:color w:val="000000"/>
                <w:sz w:val="18"/>
                <w:szCs w:val="18"/>
              </w:rPr>
              <w:t>Shareholder</w:t>
            </w:r>
            <w:r w:rsidR="009E5B30">
              <w:rPr>
                <w:rFonts w:eastAsia="仿宋"/>
                <w:b/>
                <w:bCs/>
                <w:color w:val="000000"/>
                <w:sz w:val="18"/>
                <w:szCs w:val="18"/>
              </w:rPr>
              <w:t xml:space="preserve"> </w:t>
            </w:r>
            <w:r w:rsidRPr="00B643C8">
              <w:rPr>
                <w:rFonts w:eastAsia="仿宋" w:hint="eastAsia"/>
                <w:b/>
                <w:bCs/>
                <w:color w:val="000000"/>
                <w:sz w:val="18"/>
                <w:szCs w:val="18"/>
              </w:rPr>
              <w:t>/</w:t>
            </w:r>
            <w:r w:rsidR="009E5B30">
              <w:rPr>
                <w:rFonts w:eastAsia="仿宋"/>
                <w:b/>
                <w:bCs/>
                <w:color w:val="000000"/>
                <w:sz w:val="18"/>
                <w:szCs w:val="18"/>
              </w:rPr>
              <w:t xml:space="preserve"> General </w:t>
            </w:r>
            <w:r w:rsidRPr="00B643C8">
              <w:rPr>
                <w:rFonts w:eastAsia="仿宋" w:hint="eastAsia"/>
                <w:b/>
                <w:bCs/>
                <w:color w:val="000000"/>
                <w:sz w:val="18"/>
                <w:szCs w:val="18"/>
              </w:rPr>
              <w:t>Partner</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EF85680" w14:textId="69790D41" w:rsidR="00B643C8" w:rsidRPr="00B643C8" w:rsidRDefault="00B643C8" w:rsidP="00B643C8">
            <w:pPr>
              <w:spacing w:line="200" w:lineRule="exact"/>
              <w:jc w:val="center"/>
              <w:rPr>
                <w:rFonts w:eastAsia="仿宋"/>
                <w:b/>
                <w:bCs/>
                <w:color w:val="000000"/>
                <w:sz w:val="18"/>
                <w:szCs w:val="18"/>
              </w:rPr>
            </w:pPr>
            <w:r w:rsidRPr="00B643C8">
              <w:rPr>
                <w:rFonts w:eastAsia="仿宋"/>
                <w:b/>
                <w:bCs/>
                <w:color w:val="000000"/>
                <w:sz w:val="18"/>
                <w:szCs w:val="18"/>
              </w:rPr>
              <w:t>Place of Registration/</w:t>
            </w:r>
          </w:p>
          <w:p w14:paraId="481B6309" w14:textId="77777777" w:rsidR="00B643C8" w:rsidRPr="00B643C8" w:rsidRDefault="00B643C8" w:rsidP="00B643C8">
            <w:pPr>
              <w:spacing w:line="200" w:lineRule="exact"/>
              <w:jc w:val="center"/>
              <w:rPr>
                <w:rFonts w:eastAsia="仿宋"/>
                <w:b/>
                <w:bCs/>
                <w:color w:val="000000"/>
                <w:sz w:val="18"/>
                <w:szCs w:val="18"/>
              </w:rPr>
            </w:pPr>
            <w:r w:rsidRPr="00B643C8">
              <w:rPr>
                <w:rFonts w:eastAsia="仿宋"/>
                <w:b/>
                <w:bCs/>
                <w:color w:val="000000"/>
                <w:sz w:val="18"/>
                <w:szCs w:val="18"/>
              </w:rPr>
              <w:t>Incorporation</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5DB337E5" w14:textId="2F7C68BB" w:rsidR="00B643C8" w:rsidRPr="00B643C8" w:rsidRDefault="00A26F8C" w:rsidP="00B643C8">
            <w:pPr>
              <w:spacing w:line="200" w:lineRule="exact"/>
              <w:jc w:val="center"/>
              <w:rPr>
                <w:rFonts w:eastAsia="仿宋"/>
                <w:b/>
                <w:bCs/>
                <w:color w:val="000000"/>
                <w:sz w:val="18"/>
                <w:szCs w:val="18"/>
              </w:rPr>
            </w:pPr>
            <w:r>
              <w:rPr>
                <w:rFonts w:eastAsia="仿宋"/>
                <w:b/>
                <w:bCs/>
                <w:color w:val="000000"/>
                <w:sz w:val="18"/>
                <w:szCs w:val="18"/>
              </w:rPr>
              <w:t>Total</w:t>
            </w:r>
          </w:p>
        </w:tc>
        <w:tc>
          <w:tcPr>
            <w:tcW w:w="2445" w:type="dxa"/>
            <w:tcBorders>
              <w:top w:val="single" w:sz="4" w:space="0" w:color="auto"/>
              <w:left w:val="nil"/>
              <w:bottom w:val="single" w:sz="4" w:space="0" w:color="auto"/>
              <w:right w:val="single" w:sz="4" w:space="0" w:color="auto"/>
            </w:tcBorders>
            <w:shd w:val="clear" w:color="auto" w:fill="auto"/>
            <w:vAlign w:val="center"/>
            <w:hideMark/>
          </w:tcPr>
          <w:p w14:paraId="3F742E0C" w14:textId="77777777" w:rsidR="00B643C8" w:rsidRPr="00B643C8" w:rsidRDefault="00B643C8" w:rsidP="00B643C8">
            <w:pPr>
              <w:spacing w:line="200" w:lineRule="exact"/>
              <w:jc w:val="center"/>
              <w:rPr>
                <w:rFonts w:eastAsia="仿宋"/>
                <w:b/>
                <w:bCs/>
                <w:color w:val="000000"/>
                <w:sz w:val="18"/>
                <w:szCs w:val="18"/>
              </w:rPr>
            </w:pPr>
            <w:r w:rsidRPr="00B643C8">
              <w:rPr>
                <w:rFonts w:eastAsia="仿宋" w:hint="eastAsia"/>
                <w:b/>
                <w:bCs/>
                <w:color w:val="000000"/>
                <w:sz w:val="18"/>
                <w:szCs w:val="18"/>
              </w:rPr>
              <w:t>Comment</w:t>
            </w:r>
          </w:p>
        </w:tc>
      </w:tr>
      <w:tr w:rsidR="00E93C81" w:rsidRPr="00B643C8" w14:paraId="59378725" w14:textId="77777777" w:rsidTr="005F5823">
        <w:trPr>
          <w:trHeight w:val="551"/>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07809376" w14:textId="77777777" w:rsidR="00B643C8" w:rsidRPr="00B643C8" w:rsidRDefault="00B643C8" w:rsidP="00B643C8">
            <w:pPr>
              <w:spacing w:line="200" w:lineRule="exact"/>
              <w:jc w:val="center"/>
              <w:rPr>
                <w:rFonts w:eastAsia="仿宋"/>
                <w:b/>
                <w:color w:val="000000"/>
                <w:sz w:val="18"/>
                <w:szCs w:val="18"/>
              </w:rPr>
            </w:pPr>
            <w:r w:rsidRPr="00B643C8">
              <w:rPr>
                <w:rFonts w:eastAsia="仿宋" w:hint="eastAsia"/>
                <w:b/>
                <w:color w:val="000000"/>
                <w:sz w:val="18"/>
                <w:szCs w:val="18"/>
              </w:rPr>
              <w:t>Onshore</w:t>
            </w:r>
          </w:p>
        </w:tc>
        <w:tc>
          <w:tcPr>
            <w:tcW w:w="1906" w:type="dxa"/>
            <w:tcBorders>
              <w:top w:val="nil"/>
              <w:left w:val="nil"/>
              <w:bottom w:val="single" w:sz="4" w:space="0" w:color="auto"/>
              <w:right w:val="single" w:sz="4" w:space="0" w:color="auto"/>
            </w:tcBorders>
            <w:shd w:val="clear" w:color="auto" w:fill="auto"/>
            <w:vAlign w:val="center"/>
            <w:hideMark/>
          </w:tcPr>
          <w:p w14:paraId="6AA5BF73" w14:textId="33E7842F" w:rsidR="00B643C8" w:rsidRPr="00B643C8" w:rsidRDefault="00FC443F" w:rsidP="00A26F8C">
            <w:pPr>
              <w:spacing w:line="200" w:lineRule="exact"/>
              <w:rPr>
                <w:rFonts w:eastAsia="仿宋"/>
                <w:color w:val="000000"/>
                <w:sz w:val="18"/>
                <w:szCs w:val="18"/>
              </w:rPr>
            </w:pPr>
            <w:r>
              <w:rPr>
                <w:rFonts w:eastAsia="仿宋" w:hint="eastAsia"/>
                <w:color w:val="000000"/>
                <w:sz w:val="18"/>
                <w:szCs w:val="18"/>
              </w:rPr>
              <w:t xml:space="preserve">Direct and </w:t>
            </w:r>
            <w:r>
              <w:rPr>
                <w:rFonts w:eastAsia="仿宋"/>
                <w:color w:val="000000"/>
                <w:sz w:val="18"/>
                <w:szCs w:val="18"/>
              </w:rPr>
              <w:t>I</w:t>
            </w:r>
            <w:r w:rsidR="00E93C81">
              <w:rPr>
                <w:rFonts w:eastAsia="仿宋" w:hint="eastAsia"/>
                <w:color w:val="000000"/>
                <w:sz w:val="18"/>
                <w:szCs w:val="18"/>
              </w:rPr>
              <w:t>ndirect</w:t>
            </w:r>
            <w:r w:rsidR="00E93C81">
              <w:rPr>
                <w:rFonts w:eastAsia="仿宋"/>
                <w:color w:val="000000"/>
                <w:sz w:val="18"/>
                <w:szCs w:val="18"/>
              </w:rPr>
              <w:t xml:space="preserve"> </w:t>
            </w:r>
            <w:r>
              <w:rPr>
                <w:rFonts w:eastAsia="仿宋"/>
                <w:color w:val="000000"/>
                <w:sz w:val="18"/>
                <w:szCs w:val="18"/>
              </w:rPr>
              <w:t>S</w:t>
            </w:r>
            <w:r w:rsidR="00E93C81">
              <w:rPr>
                <w:rFonts w:eastAsia="仿宋" w:hint="eastAsia"/>
                <w:color w:val="000000"/>
                <w:sz w:val="18"/>
                <w:szCs w:val="18"/>
              </w:rPr>
              <w:t>ubsidiaries</w:t>
            </w:r>
          </w:p>
        </w:tc>
        <w:tc>
          <w:tcPr>
            <w:tcW w:w="3103" w:type="dxa"/>
            <w:tcBorders>
              <w:top w:val="nil"/>
              <w:left w:val="nil"/>
              <w:bottom w:val="single" w:sz="4" w:space="0" w:color="auto"/>
              <w:right w:val="single" w:sz="4" w:space="0" w:color="auto"/>
            </w:tcBorders>
            <w:shd w:val="clear" w:color="auto" w:fill="auto"/>
            <w:vAlign w:val="center"/>
            <w:hideMark/>
          </w:tcPr>
          <w:p w14:paraId="0BFF0167" w14:textId="592C6FB7" w:rsidR="00B643C8" w:rsidRPr="00B643C8" w:rsidRDefault="005B0175" w:rsidP="00A26F8C">
            <w:pPr>
              <w:spacing w:line="200" w:lineRule="exact"/>
              <w:rPr>
                <w:rFonts w:eastAsia="仿宋"/>
                <w:color w:val="000000"/>
                <w:sz w:val="18"/>
                <w:szCs w:val="18"/>
                <w:lang w:val="en-US"/>
              </w:rPr>
            </w:pPr>
            <w:r w:rsidRPr="005B0175">
              <w:rPr>
                <w:rFonts w:eastAsia="仿宋"/>
                <w:color w:val="000000"/>
                <w:sz w:val="18"/>
                <w:szCs w:val="18"/>
              </w:rPr>
              <w:t xml:space="preserve">Bohai </w:t>
            </w:r>
            <w:proofErr w:type="spellStart"/>
            <w:r w:rsidRPr="005B0175">
              <w:rPr>
                <w:rFonts w:eastAsia="仿宋"/>
                <w:color w:val="000000"/>
                <w:sz w:val="18"/>
                <w:szCs w:val="18"/>
              </w:rPr>
              <w:t>Huamei</w:t>
            </w:r>
            <w:proofErr w:type="spellEnd"/>
            <w:r w:rsidRPr="005B0175">
              <w:rPr>
                <w:rFonts w:eastAsia="仿宋"/>
                <w:color w:val="000000"/>
                <w:sz w:val="18"/>
                <w:szCs w:val="18"/>
              </w:rPr>
              <w:t xml:space="preserve"> Rui X (Shanghai) Investment Management Co., Ltd., Bohai </w:t>
            </w:r>
            <w:proofErr w:type="spellStart"/>
            <w:r w:rsidRPr="005B0175">
              <w:rPr>
                <w:rFonts w:eastAsia="仿宋"/>
                <w:color w:val="000000"/>
                <w:sz w:val="18"/>
                <w:szCs w:val="18"/>
              </w:rPr>
              <w:t>Huamei</w:t>
            </w:r>
            <w:proofErr w:type="spellEnd"/>
            <w:r w:rsidRPr="005B0175">
              <w:rPr>
                <w:rFonts w:eastAsia="仿宋"/>
                <w:color w:val="000000"/>
                <w:sz w:val="18"/>
                <w:szCs w:val="18"/>
              </w:rPr>
              <w:t xml:space="preserve"> Chengdu Equity Investment Fund Management Co., Ltd., Beijing Bohai </w:t>
            </w:r>
            <w:proofErr w:type="spellStart"/>
            <w:r w:rsidRPr="005B0175">
              <w:rPr>
                <w:rFonts w:eastAsia="仿宋"/>
                <w:color w:val="000000"/>
                <w:sz w:val="18"/>
                <w:szCs w:val="18"/>
              </w:rPr>
              <w:t>Huamei</w:t>
            </w:r>
            <w:proofErr w:type="spellEnd"/>
            <w:r w:rsidRPr="005B0175">
              <w:rPr>
                <w:rFonts w:eastAsia="仿宋"/>
                <w:color w:val="000000"/>
                <w:sz w:val="18"/>
                <w:szCs w:val="18"/>
              </w:rPr>
              <w:t xml:space="preserve"> Rui X Equity Investment Fund Management Co., Ltd., </w:t>
            </w:r>
            <w:proofErr w:type="spellStart"/>
            <w:r w:rsidRPr="005B0175">
              <w:rPr>
                <w:rFonts w:eastAsia="仿宋"/>
                <w:color w:val="000000"/>
                <w:sz w:val="18"/>
                <w:szCs w:val="18"/>
              </w:rPr>
              <w:t>Bofeng</w:t>
            </w:r>
            <w:proofErr w:type="spellEnd"/>
            <w:r w:rsidRPr="005B0175">
              <w:rPr>
                <w:rFonts w:eastAsia="仿宋"/>
                <w:color w:val="000000"/>
                <w:sz w:val="18"/>
                <w:szCs w:val="18"/>
              </w:rPr>
              <w:t xml:space="preserve"> (Shanghai) Industrial Development Co., Ltd., </w:t>
            </w:r>
            <w:proofErr w:type="spellStart"/>
            <w:r w:rsidRPr="005B0175">
              <w:rPr>
                <w:rFonts w:eastAsia="仿宋"/>
                <w:color w:val="000000"/>
                <w:sz w:val="18"/>
                <w:szCs w:val="18"/>
              </w:rPr>
              <w:t>Huayu</w:t>
            </w:r>
            <w:proofErr w:type="spellEnd"/>
            <w:r w:rsidRPr="005B0175">
              <w:rPr>
                <w:rFonts w:eastAsia="仿宋"/>
                <w:color w:val="000000"/>
                <w:sz w:val="18"/>
                <w:szCs w:val="18"/>
              </w:rPr>
              <w:t xml:space="preserve"> (Shanghai) Information Technology Co., Ltd</w:t>
            </w:r>
            <w:r w:rsidR="0083251D">
              <w:rPr>
                <w:rFonts w:eastAsia="仿宋"/>
                <w:color w:val="000000"/>
                <w:sz w:val="18"/>
                <w:szCs w:val="18"/>
              </w:rPr>
              <w:t>.</w:t>
            </w:r>
          </w:p>
        </w:tc>
        <w:tc>
          <w:tcPr>
            <w:tcW w:w="2974" w:type="dxa"/>
            <w:tcBorders>
              <w:top w:val="nil"/>
              <w:left w:val="nil"/>
              <w:bottom w:val="single" w:sz="4" w:space="0" w:color="auto"/>
              <w:right w:val="single" w:sz="4" w:space="0" w:color="auto"/>
            </w:tcBorders>
            <w:shd w:val="clear" w:color="auto" w:fill="auto"/>
            <w:vAlign w:val="center"/>
            <w:hideMark/>
          </w:tcPr>
          <w:p w14:paraId="50E58FA1" w14:textId="18C6A8E8" w:rsidR="00B643C8" w:rsidRPr="00B643C8" w:rsidRDefault="00B643C8" w:rsidP="00924D7C">
            <w:pPr>
              <w:spacing w:line="200" w:lineRule="exact"/>
              <w:rPr>
                <w:rFonts w:eastAsia="仿宋"/>
                <w:color w:val="000000"/>
                <w:sz w:val="18"/>
                <w:szCs w:val="18"/>
              </w:rPr>
            </w:pPr>
            <w:r w:rsidRPr="00B643C8">
              <w:rPr>
                <w:rFonts w:eastAsia="仿宋" w:hint="eastAsia"/>
                <w:color w:val="000000"/>
                <w:sz w:val="18"/>
                <w:szCs w:val="18"/>
              </w:rPr>
              <w:t xml:space="preserve">Shareholder: </w:t>
            </w:r>
            <w:r w:rsidR="00A26F8C">
              <w:rPr>
                <w:rFonts w:eastAsia="仿宋"/>
                <w:color w:val="000000"/>
                <w:sz w:val="18"/>
                <w:szCs w:val="18"/>
              </w:rPr>
              <w:t>BHR</w:t>
            </w:r>
            <w:r w:rsidRPr="00B643C8">
              <w:rPr>
                <w:rFonts w:eastAsia="仿宋"/>
                <w:color w:val="000000"/>
                <w:sz w:val="18"/>
                <w:szCs w:val="18"/>
              </w:rPr>
              <w:t xml:space="preserve"> </w:t>
            </w:r>
            <w:r w:rsidR="00E93C81">
              <w:rPr>
                <w:rFonts w:eastAsia="仿宋"/>
                <w:color w:val="000000"/>
                <w:sz w:val="18"/>
                <w:szCs w:val="18"/>
              </w:rPr>
              <w:t xml:space="preserve">or </w:t>
            </w:r>
            <w:r w:rsidR="00A26F8C">
              <w:rPr>
                <w:rFonts w:eastAsia="仿宋"/>
                <w:color w:val="000000"/>
                <w:sz w:val="18"/>
                <w:szCs w:val="18"/>
              </w:rPr>
              <w:t>its</w:t>
            </w:r>
            <w:r w:rsidR="00225D58">
              <w:rPr>
                <w:rFonts w:eastAsia="仿宋"/>
                <w:color w:val="000000"/>
                <w:sz w:val="18"/>
                <w:szCs w:val="18"/>
              </w:rPr>
              <w:t xml:space="preserve"> </w:t>
            </w:r>
            <w:r w:rsidRPr="00B643C8">
              <w:rPr>
                <w:rFonts w:eastAsia="仿宋"/>
                <w:color w:val="000000"/>
                <w:sz w:val="18"/>
                <w:szCs w:val="18"/>
              </w:rPr>
              <w:t>Shenzhen subsidiary</w:t>
            </w:r>
          </w:p>
        </w:tc>
        <w:tc>
          <w:tcPr>
            <w:tcW w:w="1417" w:type="dxa"/>
            <w:tcBorders>
              <w:top w:val="nil"/>
              <w:left w:val="nil"/>
              <w:bottom w:val="single" w:sz="4" w:space="0" w:color="auto"/>
              <w:right w:val="single" w:sz="4" w:space="0" w:color="auto"/>
            </w:tcBorders>
            <w:shd w:val="clear" w:color="auto" w:fill="auto"/>
            <w:vAlign w:val="center"/>
            <w:hideMark/>
          </w:tcPr>
          <w:p w14:paraId="11C3EAB5" w14:textId="00588185" w:rsidR="00B643C8" w:rsidRPr="00B643C8" w:rsidRDefault="00FC443F" w:rsidP="00B643C8">
            <w:pPr>
              <w:spacing w:line="200" w:lineRule="exact"/>
              <w:rPr>
                <w:rFonts w:eastAsia="仿宋"/>
                <w:color w:val="000000"/>
                <w:sz w:val="18"/>
                <w:szCs w:val="18"/>
              </w:rPr>
            </w:pPr>
            <w:r w:rsidRPr="00FC443F">
              <w:rPr>
                <w:rFonts w:eastAsia="仿宋"/>
                <w:color w:val="000000"/>
                <w:sz w:val="18"/>
                <w:szCs w:val="18"/>
              </w:rPr>
              <w:t xml:space="preserve">Shanghai Free Trade Zone, Shenzhen </w:t>
            </w:r>
            <w:proofErr w:type="spellStart"/>
            <w:r w:rsidRPr="00FC443F">
              <w:rPr>
                <w:rFonts w:eastAsia="仿宋"/>
                <w:color w:val="000000"/>
                <w:sz w:val="18"/>
                <w:szCs w:val="18"/>
              </w:rPr>
              <w:t>Qianhai</w:t>
            </w:r>
            <w:proofErr w:type="spellEnd"/>
            <w:r w:rsidRPr="00FC443F">
              <w:rPr>
                <w:rFonts w:eastAsia="仿宋"/>
                <w:color w:val="000000"/>
                <w:sz w:val="18"/>
                <w:szCs w:val="18"/>
              </w:rPr>
              <w:t>, Chengdu Tianfu New District, Beijing</w:t>
            </w:r>
          </w:p>
        </w:tc>
        <w:tc>
          <w:tcPr>
            <w:tcW w:w="957" w:type="dxa"/>
            <w:tcBorders>
              <w:top w:val="nil"/>
              <w:left w:val="nil"/>
              <w:bottom w:val="single" w:sz="4" w:space="0" w:color="auto"/>
              <w:right w:val="single" w:sz="4" w:space="0" w:color="auto"/>
            </w:tcBorders>
            <w:shd w:val="clear" w:color="auto" w:fill="auto"/>
            <w:vAlign w:val="center"/>
            <w:hideMark/>
          </w:tcPr>
          <w:p w14:paraId="240FE5B7" w14:textId="5E6D7460" w:rsidR="00B643C8" w:rsidRPr="00B643C8" w:rsidRDefault="00FC443F" w:rsidP="00B643C8">
            <w:pPr>
              <w:spacing w:line="200" w:lineRule="exact"/>
              <w:jc w:val="center"/>
              <w:rPr>
                <w:rFonts w:eastAsia="仿宋"/>
                <w:color w:val="000000"/>
                <w:sz w:val="18"/>
                <w:szCs w:val="18"/>
              </w:rPr>
            </w:pPr>
            <w:r>
              <w:rPr>
                <w:rFonts w:eastAsia="仿宋"/>
                <w:color w:val="000000"/>
                <w:sz w:val="18"/>
                <w:szCs w:val="18"/>
              </w:rPr>
              <w:t>7</w:t>
            </w:r>
          </w:p>
        </w:tc>
        <w:tc>
          <w:tcPr>
            <w:tcW w:w="2445" w:type="dxa"/>
            <w:tcBorders>
              <w:top w:val="nil"/>
              <w:left w:val="nil"/>
              <w:bottom w:val="single" w:sz="4" w:space="0" w:color="auto"/>
              <w:right w:val="single" w:sz="4" w:space="0" w:color="auto"/>
            </w:tcBorders>
            <w:shd w:val="clear" w:color="auto" w:fill="auto"/>
            <w:vAlign w:val="center"/>
            <w:hideMark/>
          </w:tcPr>
          <w:p w14:paraId="10EC6DA8"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　</w:t>
            </w:r>
          </w:p>
        </w:tc>
      </w:tr>
      <w:tr w:rsidR="00E93C81" w:rsidRPr="00B643C8" w14:paraId="28D51253" w14:textId="77777777" w:rsidTr="005F5823">
        <w:trPr>
          <w:trHeight w:val="701"/>
        </w:trPr>
        <w:tc>
          <w:tcPr>
            <w:tcW w:w="948" w:type="dxa"/>
            <w:vMerge/>
            <w:tcBorders>
              <w:top w:val="nil"/>
              <w:left w:val="single" w:sz="4" w:space="0" w:color="auto"/>
              <w:bottom w:val="single" w:sz="4" w:space="0" w:color="auto"/>
              <w:right w:val="single" w:sz="4" w:space="0" w:color="auto"/>
            </w:tcBorders>
            <w:vAlign w:val="center"/>
            <w:hideMark/>
          </w:tcPr>
          <w:p w14:paraId="42486A5C" w14:textId="1C224CE3" w:rsidR="00B643C8" w:rsidRPr="00B643C8" w:rsidRDefault="00B643C8" w:rsidP="00B643C8">
            <w:pPr>
              <w:spacing w:line="200" w:lineRule="exact"/>
              <w:rPr>
                <w:rFonts w:eastAsia="仿宋"/>
                <w:b/>
                <w:color w:val="000000"/>
                <w:sz w:val="18"/>
                <w:szCs w:val="18"/>
              </w:rPr>
            </w:pPr>
          </w:p>
        </w:tc>
        <w:tc>
          <w:tcPr>
            <w:tcW w:w="1906" w:type="dxa"/>
            <w:tcBorders>
              <w:top w:val="nil"/>
              <w:left w:val="nil"/>
              <w:bottom w:val="single" w:sz="4" w:space="0" w:color="auto"/>
              <w:right w:val="single" w:sz="4" w:space="0" w:color="auto"/>
            </w:tcBorders>
            <w:shd w:val="clear" w:color="auto" w:fill="auto"/>
            <w:vAlign w:val="center"/>
            <w:hideMark/>
          </w:tcPr>
          <w:p w14:paraId="6F25360B" w14:textId="00A288D9" w:rsidR="00B643C8" w:rsidRPr="00B643C8" w:rsidRDefault="00FC443F" w:rsidP="00B643C8">
            <w:pPr>
              <w:spacing w:line="200" w:lineRule="exact"/>
              <w:rPr>
                <w:rFonts w:eastAsia="仿宋"/>
                <w:color w:val="000000"/>
                <w:sz w:val="18"/>
                <w:szCs w:val="18"/>
              </w:rPr>
            </w:pPr>
            <w:r>
              <w:rPr>
                <w:rFonts w:eastAsia="仿宋"/>
                <w:color w:val="000000"/>
                <w:sz w:val="18"/>
                <w:szCs w:val="18"/>
              </w:rPr>
              <w:t>Deal Funds</w:t>
            </w:r>
          </w:p>
        </w:tc>
        <w:tc>
          <w:tcPr>
            <w:tcW w:w="3103" w:type="dxa"/>
            <w:tcBorders>
              <w:top w:val="nil"/>
              <w:left w:val="nil"/>
              <w:bottom w:val="single" w:sz="4" w:space="0" w:color="auto"/>
              <w:right w:val="single" w:sz="4" w:space="0" w:color="auto"/>
            </w:tcBorders>
            <w:shd w:val="clear" w:color="auto" w:fill="auto"/>
            <w:vAlign w:val="center"/>
            <w:hideMark/>
          </w:tcPr>
          <w:p w14:paraId="06FA5BCB" w14:textId="77777777" w:rsidR="00FC443F" w:rsidRPr="00FC443F" w:rsidRDefault="00FC443F" w:rsidP="00FC443F">
            <w:pPr>
              <w:spacing w:line="200" w:lineRule="exact"/>
              <w:rPr>
                <w:rFonts w:eastAsia="仿宋"/>
                <w:color w:val="000000"/>
                <w:sz w:val="18"/>
                <w:szCs w:val="18"/>
              </w:rPr>
            </w:pPr>
            <w:r w:rsidRPr="00FC443F">
              <w:rPr>
                <w:rFonts w:eastAsia="仿宋"/>
                <w:color w:val="000000"/>
                <w:sz w:val="18"/>
                <w:szCs w:val="18"/>
              </w:rPr>
              <w:t>(</w:t>
            </w:r>
            <w:proofErr w:type="spellStart"/>
            <w:r w:rsidRPr="00FC443F">
              <w:rPr>
                <w:rFonts w:eastAsia="仿宋"/>
                <w:color w:val="000000"/>
                <w:sz w:val="18"/>
                <w:szCs w:val="18"/>
              </w:rPr>
              <w:t>i</w:t>
            </w:r>
            <w:proofErr w:type="spellEnd"/>
            <w:r w:rsidRPr="00FC443F">
              <w:rPr>
                <w:rFonts w:eastAsia="仿宋"/>
                <w:color w:val="000000"/>
                <w:sz w:val="18"/>
                <w:szCs w:val="18"/>
              </w:rPr>
              <w:t xml:space="preserve">) Bohai </w:t>
            </w:r>
            <w:proofErr w:type="spellStart"/>
            <w:r w:rsidRPr="00FC443F">
              <w:rPr>
                <w:rFonts w:eastAsia="仿宋"/>
                <w:color w:val="000000"/>
                <w:sz w:val="18"/>
                <w:szCs w:val="18"/>
              </w:rPr>
              <w:t>Huamei</w:t>
            </w:r>
            <w:proofErr w:type="spellEnd"/>
            <w:r w:rsidRPr="00FC443F">
              <w:rPr>
                <w:rFonts w:eastAsia="仿宋"/>
                <w:color w:val="000000"/>
                <w:sz w:val="18"/>
                <w:szCs w:val="18"/>
              </w:rPr>
              <w:t>##Phase (Shanghai) Equity Investment Fund Partnership (Limited Partnership)</w:t>
            </w:r>
          </w:p>
          <w:p w14:paraId="4DA02348" w14:textId="77777777" w:rsidR="00FC443F" w:rsidRPr="00FC443F" w:rsidRDefault="00FC443F" w:rsidP="00FC443F">
            <w:pPr>
              <w:spacing w:line="200" w:lineRule="exact"/>
              <w:rPr>
                <w:rFonts w:eastAsia="仿宋"/>
                <w:color w:val="000000"/>
                <w:sz w:val="18"/>
                <w:szCs w:val="18"/>
              </w:rPr>
            </w:pPr>
            <w:r w:rsidRPr="00FC443F">
              <w:rPr>
                <w:rFonts w:eastAsia="仿宋"/>
                <w:color w:val="000000"/>
                <w:sz w:val="18"/>
                <w:szCs w:val="18"/>
              </w:rPr>
              <w:t xml:space="preserve">(ii) Bo X (Shanghai) Investment </w:t>
            </w:r>
            <w:proofErr w:type="spellStart"/>
            <w:r w:rsidRPr="00FC443F">
              <w:rPr>
                <w:rFonts w:eastAsia="仿宋"/>
                <w:color w:val="000000"/>
                <w:sz w:val="18"/>
                <w:szCs w:val="18"/>
              </w:rPr>
              <w:t>Center</w:t>
            </w:r>
            <w:proofErr w:type="spellEnd"/>
            <w:r w:rsidRPr="00FC443F">
              <w:rPr>
                <w:rFonts w:eastAsia="仿宋"/>
                <w:color w:val="000000"/>
                <w:sz w:val="18"/>
                <w:szCs w:val="18"/>
              </w:rPr>
              <w:t xml:space="preserve"> (Limited Partnership)</w:t>
            </w:r>
          </w:p>
          <w:p w14:paraId="13766543" w14:textId="77777777" w:rsidR="00FC443F" w:rsidRPr="00FC443F" w:rsidRDefault="00FC443F" w:rsidP="00FC443F">
            <w:pPr>
              <w:spacing w:line="200" w:lineRule="exact"/>
              <w:rPr>
                <w:rFonts w:eastAsia="仿宋"/>
                <w:color w:val="000000"/>
                <w:sz w:val="18"/>
                <w:szCs w:val="18"/>
              </w:rPr>
            </w:pPr>
            <w:r w:rsidRPr="00FC443F">
              <w:rPr>
                <w:rFonts w:eastAsia="仿宋"/>
                <w:color w:val="000000"/>
                <w:sz w:val="18"/>
                <w:szCs w:val="18"/>
              </w:rPr>
              <w:t xml:space="preserve">(iii) X Yuan (Shanghai) Investment Management </w:t>
            </w:r>
            <w:proofErr w:type="spellStart"/>
            <w:r w:rsidRPr="00FC443F">
              <w:rPr>
                <w:rFonts w:eastAsia="仿宋"/>
                <w:color w:val="000000"/>
                <w:sz w:val="18"/>
                <w:szCs w:val="18"/>
              </w:rPr>
              <w:t>Center</w:t>
            </w:r>
            <w:proofErr w:type="spellEnd"/>
            <w:r w:rsidRPr="00FC443F">
              <w:rPr>
                <w:rFonts w:eastAsia="仿宋"/>
                <w:color w:val="000000"/>
                <w:sz w:val="18"/>
                <w:szCs w:val="18"/>
              </w:rPr>
              <w:t xml:space="preserve"> (Limited Partnership)</w:t>
            </w:r>
          </w:p>
          <w:p w14:paraId="40178897" w14:textId="77777777" w:rsidR="00FC443F" w:rsidRPr="00FC443F" w:rsidRDefault="00FC443F" w:rsidP="00FC443F">
            <w:pPr>
              <w:spacing w:line="200" w:lineRule="exact"/>
              <w:rPr>
                <w:rFonts w:eastAsia="仿宋"/>
                <w:color w:val="000000"/>
                <w:sz w:val="18"/>
                <w:szCs w:val="18"/>
              </w:rPr>
            </w:pPr>
            <w:r w:rsidRPr="00FC443F">
              <w:rPr>
                <w:rFonts w:eastAsia="仿宋"/>
                <w:color w:val="000000"/>
                <w:sz w:val="18"/>
                <w:szCs w:val="18"/>
              </w:rPr>
              <w:t xml:space="preserve">(iv) Chengdu Bohai </w:t>
            </w:r>
            <w:proofErr w:type="spellStart"/>
            <w:r w:rsidRPr="00FC443F">
              <w:rPr>
                <w:rFonts w:eastAsia="仿宋"/>
                <w:color w:val="000000"/>
                <w:sz w:val="18"/>
                <w:szCs w:val="18"/>
              </w:rPr>
              <w:t>Huamei</w:t>
            </w:r>
            <w:proofErr w:type="spellEnd"/>
            <w:r w:rsidRPr="00FC443F">
              <w:rPr>
                <w:rFonts w:eastAsia="仿宋"/>
                <w:color w:val="000000"/>
                <w:sz w:val="18"/>
                <w:szCs w:val="18"/>
              </w:rPr>
              <w:t xml:space="preserve"> X Phase Equity Investment Fund Partnership (Limited Partnership)</w:t>
            </w:r>
          </w:p>
          <w:p w14:paraId="61DFED1C" w14:textId="77777777" w:rsidR="00FC443F" w:rsidRPr="00FC443F" w:rsidRDefault="00FC443F" w:rsidP="00FC443F">
            <w:pPr>
              <w:spacing w:line="200" w:lineRule="exact"/>
              <w:rPr>
                <w:rFonts w:eastAsia="仿宋"/>
                <w:color w:val="000000"/>
                <w:sz w:val="18"/>
                <w:szCs w:val="18"/>
              </w:rPr>
            </w:pPr>
            <w:r w:rsidRPr="00FC443F">
              <w:rPr>
                <w:rFonts w:eastAsia="仿宋"/>
                <w:color w:val="000000"/>
                <w:sz w:val="18"/>
                <w:szCs w:val="18"/>
              </w:rPr>
              <w:t>(v) Wenzhou Run X Equity Investment Fund Partnership (Limited Partnership)</w:t>
            </w:r>
          </w:p>
          <w:p w14:paraId="6698265C" w14:textId="77777777" w:rsidR="00FC443F" w:rsidRPr="00FC443F" w:rsidRDefault="00FC443F" w:rsidP="00FC443F">
            <w:pPr>
              <w:spacing w:line="200" w:lineRule="exact"/>
              <w:rPr>
                <w:rFonts w:eastAsia="仿宋"/>
                <w:color w:val="000000"/>
                <w:sz w:val="18"/>
                <w:szCs w:val="18"/>
              </w:rPr>
            </w:pPr>
            <w:r w:rsidRPr="00FC443F">
              <w:rPr>
                <w:rFonts w:eastAsia="仿宋"/>
                <w:color w:val="000000"/>
                <w:sz w:val="18"/>
                <w:szCs w:val="18"/>
              </w:rPr>
              <w:t xml:space="preserve">(vi) Bohai </w:t>
            </w:r>
            <w:proofErr w:type="spellStart"/>
            <w:r w:rsidRPr="00FC443F">
              <w:rPr>
                <w:rFonts w:eastAsia="仿宋"/>
                <w:color w:val="000000"/>
                <w:sz w:val="18"/>
                <w:szCs w:val="18"/>
              </w:rPr>
              <w:t>Huamei</w:t>
            </w:r>
            <w:proofErr w:type="spellEnd"/>
            <w:r w:rsidRPr="00FC443F">
              <w:rPr>
                <w:rFonts w:eastAsia="仿宋"/>
                <w:color w:val="000000"/>
                <w:sz w:val="18"/>
                <w:szCs w:val="18"/>
              </w:rPr>
              <w:t xml:space="preserve"> (Shenzhen) Investment Consulting Partnership (Limited Partnership)</w:t>
            </w:r>
          </w:p>
          <w:p w14:paraId="0ACF0157" w14:textId="25183788" w:rsidR="00B643C8" w:rsidRPr="00924D7C" w:rsidRDefault="00FC443F" w:rsidP="006A7FD4">
            <w:pPr>
              <w:widowControl w:val="0"/>
              <w:spacing w:line="200" w:lineRule="exact"/>
              <w:jc w:val="both"/>
              <w:rPr>
                <w:rFonts w:eastAsia="仿宋"/>
                <w:color w:val="000000"/>
                <w:sz w:val="18"/>
                <w:szCs w:val="18"/>
              </w:rPr>
            </w:pPr>
            <w:r w:rsidRPr="00FC443F">
              <w:rPr>
                <w:rFonts w:eastAsia="仿宋"/>
                <w:color w:val="000000"/>
                <w:sz w:val="18"/>
                <w:szCs w:val="18"/>
              </w:rPr>
              <w:t xml:space="preserve">(vii) Ningbo </w:t>
            </w:r>
            <w:proofErr w:type="spellStart"/>
            <w:r w:rsidRPr="00FC443F">
              <w:rPr>
                <w:rFonts w:eastAsia="仿宋"/>
                <w:color w:val="000000"/>
                <w:sz w:val="18"/>
                <w:szCs w:val="18"/>
              </w:rPr>
              <w:t>Meishan</w:t>
            </w:r>
            <w:proofErr w:type="spellEnd"/>
            <w:r w:rsidRPr="00FC443F">
              <w:rPr>
                <w:rFonts w:eastAsia="仿宋"/>
                <w:color w:val="000000"/>
                <w:sz w:val="18"/>
                <w:szCs w:val="18"/>
              </w:rPr>
              <w:t xml:space="preserve"> Bonded Port Area Bohai </w:t>
            </w:r>
            <w:proofErr w:type="spellStart"/>
            <w:r w:rsidRPr="00FC443F">
              <w:rPr>
                <w:rFonts w:eastAsia="仿宋"/>
                <w:color w:val="000000"/>
                <w:sz w:val="18"/>
                <w:szCs w:val="18"/>
              </w:rPr>
              <w:t>Huamei</w:t>
            </w:r>
            <w:proofErr w:type="spellEnd"/>
            <w:r w:rsidRPr="00FC443F">
              <w:rPr>
                <w:rFonts w:eastAsia="仿宋"/>
                <w:color w:val="000000"/>
                <w:sz w:val="18"/>
                <w:szCs w:val="18"/>
              </w:rPr>
              <w:t xml:space="preserve"> Qing X Equity Investment Fund Partnership (Limited Partnership)</w:t>
            </w:r>
          </w:p>
        </w:tc>
        <w:tc>
          <w:tcPr>
            <w:tcW w:w="2974" w:type="dxa"/>
            <w:tcBorders>
              <w:top w:val="nil"/>
              <w:left w:val="nil"/>
              <w:bottom w:val="single" w:sz="4" w:space="0" w:color="auto"/>
              <w:right w:val="single" w:sz="4" w:space="0" w:color="auto"/>
            </w:tcBorders>
            <w:shd w:val="clear" w:color="auto" w:fill="auto"/>
            <w:vAlign w:val="center"/>
            <w:hideMark/>
          </w:tcPr>
          <w:p w14:paraId="42730FAB" w14:textId="726C5833" w:rsidR="00B643C8" w:rsidRPr="00DC5652" w:rsidRDefault="00B643C8" w:rsidP="00B643C8">
            <w:pPr>
              <w:spacing w:line="200" w:lineRule="exact"/>
              <w:rPr>
                <w:rFonts w:eastAsia="仿宋"/>
                <w:color w:val="000000"/>
                <w:sz w:val="18"/>
                <w:szCs w:val="18"/>
              </w:rPr>
            </w:pPr>
            <w:r w:rsidRPr="00632128">
              <w:rPr>
                <w:rFonts w:eastAsia="仿宋"/>
                <w:color w:val="000000"/>
                <w:sz w:val="18"/>
                <w:szCs w:val="18"/>
              </w:rPr>
              <w:t xml:space="preserve">GP: </w:t>
            </w:r>
            <w:r w:rsidR="00A26F8C" w:rsidRPr="00DC5652">
              <w:rPr>
                <w:rFonts w:eastAsia="仿宋"/>
                <w:color w:val="000000"/>
                <w:sz w:val="18"/>
                <w:szCs w:val="18"/>
              </w:rPr>
              <w:t>BHR</w:t>
            </w:r>
            <w:r w:rsidRPr="00DC5652">
              <w:rPr>
                <w:rFonts w:eastAsia="仿宋"/>
                <w:color w:val="000000"/>
                <w:sz w:val="18"/>
                <w:szCs w:val="18"/>
              </w:rPr>
              <w:t xml:space="preserve">, BHR </w:t>
            </w:r>
            <w:proofErr w:type="spellStart"/>
            <w:r w:rsidRPr="00DC5652">
              <w:rPr>
                <w:rFonts w:eastAsia="仿宋"/>
                <w:color w:val="000000"/>
                <w:sz w:val="18"/>
                <w:szCs w:val="18"/>
              </w:rPr>
              <w:t>Ruiyun</w:t>
            </w:r>
            <w:proofErr w:type="spellEnd"/>
            <w:r w:rsidRPr="00DC5652">
              <w:rPr>
                <w:rFonts w:eastAsia="仿宋"/>
                <w:color w:val="000000"/>
                <w:sz w:val="18"/>
                <w:szCs w:val="18"/>
              </w:rPr>
              <w:t xml:space="preserve">, BHR </w:t>
            </w:r>
            <w:proofErr w:type="spellStart"/>
            <w:r w:rsidRPr="00DC5652">
              <w:rPr>
                <w:rFonts w:eastAsia="仿宋"/>
                <w:color w:val="000000"/>
                <w:sz w:val="18"/>
                <w:szCs w:val="18"/>
              </w:rPr>
              <w:t>Ruila</w:t>
            </w:r>
            <w:proofErr w:type="spellEnd"/>
            <w:r w:rsidRPr="00DC5652">
              <w:rPr>
                <w:rFonts w:eastAsia="仿宋"/>
                <w:color w:val="000000"/>
                <w:sz w:val="18"/>
                <w:szCs w:val="18"/>
              </w:rPr>
              <w:t>, BHR Chengdu</w:t>
            </w:r>
          </w:p>
          <w:p w14:paraId="260966E4" w14:textId="77777777" w:rsidR="00A26F8C" w:rsidRPr="00DC5652" w:rsidRDefault="00A26F8C" w:rsidP="00B643C8">
            <w:pPr>
              <w:spacing w:line="200" w:lineRule="exact"/>
              <w:rPr>
                <w:rFonts w:eastAsia="仿宋"/>
                <w:color w:val="000000"/>
                <w:sz w:val="18"/>
                <w:szCs w:val="18"/>
              </w:rPr>
            </w:pPr>
          </w:p>
          <w:p w14:paraId="532CDB47" w14:textId="2D1735F2" w:rsidR="00B643C8" w:rsidRPr="00DC5652" w:rsidRDefault="00B643C8" w:rsidP="00B643C8">
            <w:pPr>
              <w:spacing w:line="200" w:lineRule="exact"/>
              <w:rPr>
                <w:rFonts w:eastAsia="仿宋"/>
                <w:color w:val="000000"/>
                <w:sz w:val="18"/>
                <w:szCs w:val="18"/>
              </w:rPr>
            </w:pPr>
            <w:r w:rsidRPr="00DC5652">
              <w:rPr>
                <w:rFonts w:eastAsia="仿宋"/>
                <w:color w:val="000000"/>
                <w:sz w:val="18"/>
                <w:szCs w:val="18"/>
              </w:rPr>
              <w:t xml:space="preserve">LP: </w:t>
            </w:r>
            <w:proofErr w:type="spellStart"/>
            <w:r w:rsidRPr="00DC5652">
              <w:rPr>
                <w:rFonts w:eastAsia="仿宋"/>
                <w:color w:val="000000"/>
                <w:sz w:val="18"/>
                <w:szCs w:val="18"/>
              </w:rPr>
              <w:t>Angju</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7AE5098F" w14:textId="7BFA7386" w:rsidR="00B643C8" w:rsidRPr="00B643C8" w:rsidRDefault="00B643C8" w:rsidP="00B643C8">
            <w:pPr>
              <w:spacing w:line="200" w:lineRule="exact"/>
              <w:rPr>
                <w:rFonts w:eastAsia="仿宋"/>
                <w:color w:val="000000"/>
                <w:sz w:val="18"/>
                <w:szCs w:val="18"/>
              </w:rPr>
            </w:pPr>
            <w:r w:rsidRPr="00B643C8">
              <w:rPr>
                <w:rFonts w:eastAsia="仿宋" w:hint="eastAsia"/>
                <w:color w:val="000000"/>
                <w:sz w:val="18"/>
                <w:szCs w:val="18"/>
              </w:rPr>
              <w:t>Shanghai</w:t>
            </w:r>
            <w:r w:rsidR="00744CF1">
              <w:rPr>
                <w:rFonts w:eastAsia="仿宋"/>
                <w:color w:val="000000"/>
                <w:sz w:val="18"/>
                <w:szCs w:val="18"/>
              </w:rPr>
              <w:t xml:space="preserve"> Free Trade Zone</w:t>
            </w:r>
            <w:r w:rsidRPr="00B643C8">
              <w:rPr>
                <w:rFonts w:eastAsia="仿宋"/>
                <w:color w:val="000000"/>
                <w:sz w:val="18"/>
                <w:szCs w:val="18"/>
              </w:rPr>
              <w:t>, Chengdu Tianfu</w:t>
            </w:r>
            <w:r w:rsidR="00744CF1">
              <w:rPr>
                <w:rFonts w:eastAsia="仿宋"/>
                <w:color w:val="000000"/>
                <w:sz w:val="18"/>
                <w:szCs w:val="18"/>
              </w:rPr>
              <w:t xml:space="preserve"> New District</w:t>
            </w:r>
            <w:r w:rsidRPr="00B643C8">
              <w:rPr>
                <w:rFonts w:eastAsia="仿宋" w:hint="eastAsia"/>
                <w:color w:val="000000"/>
                <w:sz w:val="18"/>
                <w:szCs w:val="18"/>
              </w:rPr>
              <w:t>, Zhejiang</w:t>
            </w:r>
            <w:r w:rsidR="00744CF1">
              <w:rPr>
                <w:rFonts w:eastAsia="仿宋"/>
                <w:color w:val="000000"/>
                <w:sz w:val="18"/>
                <w:szCs w:val="18"/>
              </w:rPr>
              <w:t xml:space="preserve"> </w:t>
            </w:r>
            <w:r w:rsidRPr="00B643C8">
              <w:rPr>
                <w:rFonts w:eastAsia="仿宋" w:hint="eastAsia"/>
                <w:color w:val="000000"/>
                <w:sz w:val="18"/>
                <w:szCs w:val="18"/>
              </w:rPr>
              <w:t>Wenzhou</w:t>
            </w:r>
            <w:r w:rsidR="00744CF1">
              <w:rPr>
                <w:rFonts w:eastAsia="仿宋"/>
                <w:color w:val="000000"/>
                <w:sz w:val="18"/>
                <w:szCs w:val="18"/>
              </w:rPr>
              <w:t xml:space="preserve">, </w:t>
            </w:r>
            <w:r w:rsidR="00744CF1" w:rsidRPr="00FC443F">
              <w:rPr>
                <w:rFonts w:eastAsia="仿宋"/>
                <w:color w:val="000000"/>
                <w:sz w:val="18"/>
                <w:szCs w:val="18"/>
              </w:rPr>
              <w:t xml:space="preserve">Ningbo </w:t>
            </w:r>
            <w:proofErr w:type="spellStart"/>
            <w:r w:rsidR="00744CF1" w:rsidRPr="00FC443F">
              <w:rPr>
                <w:rFonts w:eastAsia="仿宋"/>
                <w:color w:val="000000"/>
                <w:sz w:val="18"/>
                <w:szCs w:val="18"/>
              </w:rPr>
              <w:t>Meishan</w:t>
            </w:r>
            <w:proofErr w:type="spellEnd"/>
            <w:r w:rsidR="00744CF1" w:rsidRPr="00FC443F">
              <w:rPr>
                <w:rFonts w:eastAsia="仿宋"/>
                <w:color w:val="000000"/>
                <w:sz w:val="18"/>
                <w:szCs w:val="18"/>
              </w:rPr>
              <w:t xml:space="preserve"> Bonded Port Area</w:t>
            </w:r>
          </w:p>
        </w:tc>
        <w:tc>
          <w:tcPr>
            <w:tcW w:w="957" w:type="dxa"/>
            <w:tcBorders>
              <w:top w:val="nil"/>
              <w:left w:val="nil"/>
              <w:bottom w:val="single" w:sz="4" w:space="0" w:color="auto"/>
              <w:right w:val="single" w:sz="4" w:space="0" w:color="auto"/>
            </w:tcBorders>
            <w:shd w:val="clear" w:color="auto" w:fill="auto"/>
            <w:vAlign w:val="center"/>
            <w:hideMark/>
          </w:tcPr>
          <w:p w14:paraId="3FAC99D3" w14:textId="522ECF98" w:rsidR="00B643C8" w:rsidRPr="00B643C8" w:rsidRDefault="00924D7C" w:rsidP="00B643C8">
            <w:pPr>
              <w:spacing w:line="200" w:lineRule="exact"/>
              <w:jc w:val="center"/>
              <w:rPr>
                <w:rFonts w:eastAsia="仿宋"/>
                <w:color w:val="000000"/>
                <w:sz w:val="18"/>
                <w:szCs w:val="18"/>
              </w:rPr>
            </w:pPr>
            <w:r>
              <w:rPr>
                <w:rFonts w:eastAsia="仿宋"/>
                <w:color w:val="000000"/>
                <w:sz w:val="18"/>
                <w:szCs w:val="18"/>
              </w:rPr>
              <w:t>22</w:t>
            </w:r>
          </w:p>
        </w:tc>
        <w:tc>
          <w:tcPr>
            <w:tcW w:w="2445" w:type="dxa"/>
            <w:tcBorders>
              <w:top w:val="nil"/>
              <w:left w:val="nil"/>
              <w:bottom w:val="single" w:sz="4" w:space="0" w:color="auto"/>
              <w:right w:val="single" w:sz="4" w:space="0" w:color="auto"/>
            </w:tcBorders>
            <w:shd w:val="clear" w:color="auto" w:fill="auto"/>
            <w:vAlign w:val="center"/>
            <w:hideMark/>
          </w:tcPr>
          <w:p w14:paraId="5B961CA0"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　</w:t>
            </w:r>
          </w:p>
        </w:tc>
      </w:tr>
      <w:tr w:rsidR="00E93C81" w:rsidRPr="00B643C8" w14:paraId="5D151018" w14:textId="77777777" w:rsidTr="005F5823">
        <w:trPr>
          <w:trHeight w:val="547"/>
        </w:trPr>
        <w:tc>
          <w:tcPr>
            <w:tcW w:w="948" w:type="dxa"/>
            <w:vMerge/>
            <w:tcBorders>
              <w:top w:val="nil"/>
              <w:left w:val="single" w:sz="4" w:space="0" w:color="auto"/>
              <w:bottom w:val="single" w:sz="4" w:space="0" w:color="auto"/>
              <w:right w:val="single" w:sz="4" w:space="0" w:color="auto"/>
            </w:tcBorders>
            <w:vAlign w:val="center"/>
            <w:hideMark/>
          </w:tcPr>
          <w:p w14:paraId="55D8AACE" w14:textId="77777777" w:rsidR="00B643C8" w:rsidRPr="00B643C8" w:rsidRDefault="00B643C8" w:rsidP="00B643C8">
            <w:pPr>
              <w:spacing w:line="200" w:lineRule="exact"/>
              <w:rPr>
                <w:rFonts w:eastAsia="仿宋"/>
                <w:b/>
                <w:color w:val="000000"/>
                <w:sz w:val="18"/>
                <w:szCs w:val="18"/>
              </w:rPr>
            </w:pPr>
          </w:p>
        </w:tc>
        <w:tc>
          <w:tcPr>
            <w:tcW w:w="1906" w:type="dxa"/>
            <w:tcBorders>
              <w:top w:val="nil"/>
              <w:left w:val="nil"/>
              <w:bottom w:val="single" w:sz="4" w:space="0" w:color="auto"/>
              <w:right w:val="single" w:sz="4" w:space="0" w:color="auto"/>
            </w:tcBorders>
            <w:shd w:val="clear" w:color="auto" w:fill="auto"/>
            <w:vAlign w:val="center"/>
            <w:hideMark/>
          </w:tcPr>
          <w:p w14:paraId="741D76B3" w14:textId="68DED40E" w:rsidR="00B643C8" w:rsidRPr="00B643C8" w:rsidRDefault="00924D7C" w:rsidP="00A26F8C">
            <w:pPr>
              <w:spacing w:line="200" w:lineRule="exact"/>
              <w:rPr>
                <w:rFonts w:eastAsia="仿宋"/>
                <w:color w:val="000000"/>
                <w:sz w:val="18"/>
                <w:szCs w:val="18"/>
              </w:rPr>
            </w:pPr>
            <w:r w:rsidRPr="00B643C8">
              <w:rPr>
                <w:rFonts w:eastAsia="仿宋"/>
                <w:color w:val="000000"/>
                <w:sz w:val="18"/>
                <w:szCs w:val="18"/>
              </w:rPr>
              <w:t>Carried Interest Entit</w:t>
            </w:r>
            <w:r>
              <w:rPr>
                <w:rFonts w:eastAsia="仿宋"/>
                <w:color w:val="000000"/>
                <w:sz w:val="18"/>
                <w:szCs w:val="18"/>
              </w:rPr>
              <w:t>ies</w:t>
            </w:r>
          </w:p>
        </w:tc>
        <w:tc>
          <w:tcPr>
            <w:tcW w:w="3103" w:type="dxa"/>
            <w:tcBorders>
              <w:top w:val="nil"/>
              <w:left w:val="nil"/>
              <w:bottom w:val="single" w:sz="4" w:space="0" w:color="auto"/>
              <w:right w:val="single" w:sz="4" w:space="0" w:color="auto"/>
            </w:tcBorders>
            <w:shd w:val="clear" w:color="auto" w:fill="auto"/>
            <w:vAlign w:val="center"/>
            <w:hideMark/>
          </w:tcPr>
          <w:p w14:paraId="295A8A1D" w14:textId="77777777" w:rsidR="00924D7C" w:rsidRPr="00924D7C" w:rsidRDefault="00924D7C" w:rsidP="00924D7C">
            <w:pPr>
              <w:spacing w:line="200" w:lineRule="exact"/>
              <w:ind w:rightChars="-51" w:right="-122"/>
              <w:rPr>
                <w:rFonts w:eastAsia="仿宋"/>
                <w:color w:val="000000"/>
                <w:sz w:val="18"/>
                <w:szCs w:val="18"/>
              </w:rPr>
            </w:pPr>
            <w:proofErr w:type="spellStart"/>
            <w:r w:rsidRPr="00924D7C">
              <w:rPr>
                <w:rFonts w:eastAsia="仿宋"/>
                <w:color w:val="000000"/>
                <w:sz w:val="18"/>
                <w:szCs w:val="18"/>
              </w:rPr>
              <w:t>Gongqingcheng</w:t>
            </w:r>
            <w:proofErr w:type="spellEnd"/>
            <w:r w:rsidRPr="00924D7C">
              <w:rPr>
                <w:rFonts w:eastAsia="仿宋"/>
                <w:color w:val="000000"/>
                <w:sz w:val="18"/>
                <w:szCs w:val="18"/>
              </w:rPr>
              <w:t xml:space="preserve"> </w:t>
            </w:r>
            <w:proofErr w:type="spellStart"/>
            <w:r w:rsidRPr="00924D7C">
              <w:rPr>
                <w:rFonts w:eastAsia="仿宋"/>
                <w:color w:val="000000"/>
                <w:sz w:val="18"/>
                <w:szCs w:val="18"/>
              </w:rPr>
              <w:t>Huamei</w:t>
            </w:r>
            <w:proofErr w:type="spellEnd"/>
            <w:r w:rsidRPr="00924D7C">
              <w:rPr>
                <w:rFonts w:eastAsia="仿宋"/>
                <w:color w:val="000000"/>
                <w:sz w:val="18"/>
                <w:szCs w:val="18"/>
              </w:rPr>
              <w:t xml:space="preserve"> </w:t>
            </w:r>
            <w:proofErr w:type="spellStart"/>
            <w:r w:rsidRPr="00924D7C">
              <w:rPr>
                <w:rFonts w:eastAsia="仿宋"/>
                <w:color w:val="000000"/>
                <w:sz w:val="18"/>
                <w:szCs w:val="18"/>
              </w:rPr>
              <w:t>Xieli</w:t>
            </w:r>
            <w:proofErr w:type="spellEnd"/>
            <w:r w:rsidRPr="00924D7C">
              <w:rPr>
                <w:rFonts w:eastAsia="仿宋"/>
                <w:color w:val="000000"/>
                <w:sz w:val="18"/>
                <w:szCs w:val="18"/>
              </w:rPr>
              <w:t xml:space="preserve"> Investment Management Partnership (Limited Partnership)</w:t>
            </w:r>
          </w:p>
          <w:p w14:paraId="580AAB93" w14:textId="31891FA7" w:rsidR="00B643C8" w:rsidRPr="00B643C8" w:rsidRDefault="00924D7C" w:rsidP="00924D7C">
            <w:pPr>
              <w:spacing w:line="200" w:lineRule="exact"/>
              <w:ind w:rightChars="-51" w:right="-122"/>
              <w:rPr>
                <w:rFonts w:eastAsia="仿宋"/>
                <w:color w:val="000000"/>
                <w:sz w:val="18"/>
                <w:szCs w:val="18"/>
              </w:rPr>
            </w:pPr>
            <w:proofErr w:type="spellStart"/>
            <w:r w:rsidRPr="00924D7C">
              <w:rPr>
                <w:rFonts w:eastAsia="仿宋"/>
                <w:color w:val="000000"/>
                <w:sz w:val="18"/>
                <w:szCs w:val="18"/>
              </w:rPr>
              <w:t>Gongqingcheng</w:t>
            </w:r>
            <w:proofErr w:type="spellEnd"/>
            <w:r w:rsidRPr="00924D7C">
              <w:rPr>
                <w:rFonts w:eastAsia="仿宋"/>
                <w:color w:val="000000"/>
                <w:sz w:val="18"/>
                <w:szCs w:val="18"/>
              </w:rPr>
              <w:t xml:space="preserve"> Bohai </w:t>
            </w:r>
            <w:proofErr w:type="spellStart"/>
            <w:r w:rsidRPr="00924D7C">
              <w:rPr>
                <w:rFonts w:eastAsia="仿宋"/>
                <w:color w:val="000000"/>
                <w:sz w:val="18"/>
                <w:szCs w:val="18"/>
              </w:rPr>
              <w:t>Huamei</w:t>
            </w:r>
            <w:proofErr w:type="spellEnd"/>
            <w:r w:rsidRPr="00924D7C">
              <w:rPr>
                <w:rFonts w:eastAsia="仿宋"/>
                <w:color w:val="000000"/>
                <w:sz w:val="18"/>
                <w:szCs w:val="18"/>
              </w:rPr>
              <w:t xml:space="preserve"> X Phase Investment </w:t>
            </w:r>
            <w:proofErr w:type="spellStart"/>
            <w:r w:rsidRPr="00924D7C">
              <w:rPr>
                <w:rFonts w:eastAsia="仿宋"/>
                <w:color w:val="000000"/>
                <w:sz w:val="18"/>
                <w:szCs w:val="18"/>
              </w:rPr>
              <w:t>Center</w:t>
            </w:r>
            <w:proofErr w:type="spellEnd"/>
            <w:r w:rsidRPr="00924D7C">
              <w:rPr>
                <w:rFonts w:eastAsia="仿宋"/>
                <w:color w:val="000000"/>
                <w:sz w:val="18"/>
                <w:szCs w:val="18"/>
              </w:rPr>
              <w:t xml:space="preserve"> (Limited Partnership)</w:t>
            </w:r>
          </w:p>
        </w:tc>
        <w:tc>
          <w:tcPr>
            <w:tcW w:w="2974" w:type="dxa"/>
            <w:tcBorders>
              <w:top w:val="nil"/>
              <w:left w:val="nil"/>
              <w:bottom w:val="single" w:sz="4" w:space="0" w:color="auto"/>
              <w:right w:val="single" w:sz="4" w:space="0" w:color="auto"/>
            </w:tcBorders>
            <w:shd w:val="clear" w:color="auto" w:fill="auto"/>
            <w:vAlign w:val="center"/>
            <w:hideMark/>
          </w:tcPr>
          <w:p w14:paraId="2C650E1B" w14:textId="17D28842"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GP: </w:t>
            </w:r>
            <w:proofErr w:type="spellStart"/>
            <w:r w:rsidRPr="00B643C8">
              <w:rPr>
                <w:rFonts w:eastAsia="仿宋"/>
                <w:color w:val="000000"/>
                <w:sz w:val="18"/>
                <w:szCs w:val="18"/>
              </w:rPr>
              <w:t>Angju</w:t>
            </w:r>
            <w:proofErr w:type="spellEnd"/>
            <w:r w:rsidR="00924D7C">
              <w:rPr>
                <w:rFonts w:eastAsia="仿宋"/>
                <w:color w:val="000000"/>
                <w:sz w:val="18"/>
                <w:szCs w:val="18"/>
              </w:rPr>
              <w:t xml:space="preserve">, BHR </w:t>
            </w:r>
            <w:proofErr w:type="spellStart"/>
            <w:r w:rsidR="00924D7C">
              <w:rPr>
                <w:rFonts w:eastAsia="仿宋"/>
                <w:color w:val="000000"/>
                <w:sz w:val="18"/>
                <w:szCs w:val="18"/>
              </w:rPr>
              <w:t>Ruiyun</w:t>
            </w:r>
            <w:proofErr w:type="spellEnd"/>
            <w:r w:rsidR="00560A05">
              <w:rPr>
                <w:rFonts w:eastAsia="仿宋"/>
                <w:color w:val="000000"/>
                <w:sz w:val="18"/>
                <w:szCs w:val="18"/>
              </w:rPr>
              <w:t xml:space="preserve">, BHR </w:t>
            </w:r>
            <w:proofErr w:type="spellStart"/>
            <w:r w:rsidR="00560A05">
              <w:rPr>
                <w:rFonts w:eastAsia="仿宋"/>
                <w:color w:val="000000"/>
                <w:sz w:val="18"/>
                <w:szCs w:val="18"/>
              </w:rPr>
              <w:t>Ruila</w:t>
            </w:r>
            <w:proofErr w:type="spellEnd"/>
          </w:p>
          <w:p w14:paraId="3BDAE445" w14:textId="1E66FFE6" w:rsidR="00B643C8" w:rsidRPr="00B643C8" w:rsidRDefault="00B643C8" w:rsidP="00A26F8C">
            <w:pPr>
              <w:spacing w:line="200" w:lineRule="exact"/>
              <w:rPr>
                <w:rFonts w:eastAsia="仿宋"/>
                <w:color w:val="000000"/>
                <w:sz w:val="18"/>
                <w:szCs w:val="18"/>
              </w:rPr>
            </w:pPr>
            <w:r w:rsidRPr="00B643C8">
              <w:rPr>
                <w:rFonts w:eastAsia="仿宋"/>
                <w:color w:val="000000"/>
                <w:sz w:val="18"/>
                <w:szCs w:val="18"/>
              </w:rPr>
              <w:t xml:space="preserve">LP: </w:t>
            </w:r>
            <w:r w:rsidR="00A26F8C">
              <w:rPr>
                <w:rFonts w:eastAsia="仿宋"/>
                <w:color w:val="000000"/>
                <w:sz w:val="18"/>
                <w:szCs w:val="18"/>
              </w:rPr>
              <w:t>BHR employees</w:t>
            </w:r>
          </w:p>
        </w:tc>
        <w:tc>
          <w:tcPr>
            <w:tcW w:w="1417" w:type="dxa"/>
            <w:tcBorders>
              <w:top w:val="nil"/>
              <w:left w:val="nil"/>
              <w:bottom w:val="single" w:sz="4" w:space="0" w:color="auto"/>
              <w:right w:val="single" w:sz="4" w:space="0" w:color="auto"/>
            </w:tcBorders>
            <w:shd w:val="clear" w:color="auto" w:fill="auto"/>
            <w:vAlign w:val="center"/>
            <w:hideMark/>
          </w:tcPr>
          <w:p w14:paraId="57740953" w14:textId="77777777" w:rsidR="00B643C8" w:rsidRPr="00B643C8" w:rsidRDefault="00B643C8" w:rsidP="00B643C8">
            <w:pPr>
              <w:spacing w:line="200" w:lineRule="exact"/>
              <w:rPr>
                <w:rFonts w:eastAsia="仿宋"/>
                <w:color w:val="000000"/>
                <w:sz w:val="18"/>
                <w:szCs w:val="18"/>
              </w:rPr>
            </w:pPr>
            <w:proofErr w:type="spellStart"/>
            <w:r w:rsidRPr="00B643C8">
              <w:rPr>
                <w:rFonts w:eastAsia="仿宋"/>
                <w:color w:val="000000"/>
                <w:sz w:val="18"/>
                <w:szCs w:val="18"/>
              </w:rPr>
              <w:t>Gongqingcheng</w:t>
            </w:r>
            <w:proofErr w:type="spellEnd"/>
            <w:r w:rsidRPr="00B643C8">
              <w:rPr>
                <w:rFonts w:eastAsia="仿宋"/>
                <w:color w:val="000000"/>
                <w:sz w:val="18"/>
                <w:szCs w:val="18"/>
              </w:rPr>
              <w:t>, Jiangxi</w:t>
            </w:r>
          </w:p>
        </w:tc>
        <w:tc>
          <w:tcPr>
            <w:tcW w:w="957" w:type="dxa"/>
            <w:tcBorders>
              <w:top w:val="nil"/>
              <w:left w:val="nil"/>
              <w:bottom w:val="single" w:sz="4" w:space="0" w:color="auto"/>
              <w:right w:val="single" w:sz="4" w:space="0" w:color="auto"/>
            </w:tcBorders>
            <w:shd w:val="clear" w:color="auto" w:fill="auto"/>
            <w:vAlign w:val="center"/>
            <w:hideMark/>
          </w:tcPr>
          <w:p w14:paraId="1996A253"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6</w:t>
            </w:r>
          </w:p>
        </w:tc>
        <w:tc>
          <w:tcPr>
            <w:tcW w:w="2445" w:type="dxa"/>
            <w:tcBorders>
              <w:top w:val="nil"/>
              <w:left w:val="nil"/>
              <w:bottom w:val="single" w:sz="4" w:space="0" w:color="auto"/>
              <w:right w:val="single" w:sz="4" w:space="0" w:color="auto"/>
            </w:tcBorders>
            <w:shd w:val="clear" w:color="auto" w:fill="auto"/>
            <w:vAlign w:val="center"/>
            <w:hideMark/>
          </w:tcPr>
          <w:p w14:paraId="42DE1694" w14:textId="77777777" w:rsidR="00B643C8" w:rsidRPr="00B643C8" w:rsidRDefault="00B643C8" w:rsidP="00B643C8">
            <w:pPr>
              <w:spacing w:line="200" w:lineRule="exact"/>
              <w:rPr>
                <w:rFonts w:eastAsia="仿宋"/>
                <w:color w:val="000000"/>
                <w:sz w:val="18"/>
                <w:szCs w:val="18"/>
              </w:rPr>
            </w:pPr>
          </w:p>
        </w:tc>
      </w:tr>
      <w:tr w:rsidR="00E93C81" w:rsidRPr="00B643C8" w14:paraId="2DD2EBEB" w14:textId="77777777" w:rsidTr="005F5823">
        <w:trPr>
          <w:trHeight w:val="560"/>
        </w:trPr>
        <w:tc>
          <w:tcPr>
            <w:tcW w:w="948" w:type="dxa"/>
            <w:vMerge/>
            <w:tcBorders>
              <w:top w:val="nil"/>
              <w:left w:val="single" w:sz="4" w:space="0" w:color="auto"/>
              <w:bottom w:val="single" w:sz="4" w:space="0" w:color="auto"/>
              <w:right w:val="single" w:sz="4" w:space="0" w:color="auto"/>
            </w:tcBorders>
            <w:vAlign w:val="center"/>
            <w:hideMark/>
          </w:tcPr>
          <w:p w14:paraId="0C174AE1" w14:textId="77777777" w:rsidR="00B643C8" w:rsidRPr="00B643C8" w:rsidRDefault="00B643C8" w:rsidP="00B643C8">
            <w:pPr>
              <w:spacing w:line="200" w:lineRule="exact"/>
              <w:rPr>
                <w:rFonts w:eastAsia="仿宋"/>
                <w:b/>
                <w:color w:val="000000"/>
                <w:sz w:val="18"/>
                <w:szCs w:val="18"/>
              </w:rPr>
            </w:pPr>
          </w:p>
        </w:tc>
        <w:tc>
          <w:tcPr>
            <w:tcW w:w="1906" w:type="dxa"/>
            <w:tcBorders>
              <w:top w:val="nil"/>
              <w:left w:val="nil"/>
              <w:bottom w:val="single" w:sz="4" w:space="0" w:color="auto"/>
              <w:right w:val="single" w:sz="4" w:space="0" w:color="auto"/>
            </w:tcBorders>
            <w:shd w:val="clear" w:color="auto" w:fill="auto"/>
            <w:vAlign w:val="center"/>
            <w:hideMark/>
          </w:tcPr>
          <w:p w14:paraId="74A04B43" w14:textId="7073CE07" w:rsidR="00B643C8" w:rsidRPr="00B643C8" w:rsidRDefault="00A26F8C" w:rsidP="00B643C8">
            <w:pPr>
              <w:spacing w:line="200" w:lineRule="exact"/>
              <w:rPr>
                <w:rFonts w:eastAsia="仿宋"/>
                <w:color w:val="000000"/>
                <w:sz w:val="18"/>
                <w:szCs w:val="18"/>
              </w:rPr>
            </w:pPr>
            <w:r>
              <w:rPr>
                <w:rFonts w:eastAsia="仿宋"/>
                <w:color w:val="000000"/>
                <w:sz w:val="18"/>
                <w:szCs w:val="18"/>
              </w:rPr>
              <w:t>Employee</w:t>
            </w:r>
            <w:r w:rsidRPr="00B643C8">
              <w:rPr>
                <w:rFonts w:eastAsia="仿宋"/>
                <w:color w:val="000000"/>
                <w:sz w:val="18"/>
                <w:szCs w:val="18"/>
              </w:rPr>
              <w:t xml:space="preserve"> </w:t>
            </w:r>
            <w:r w:rsidR="00B643C8" w:rsidRPr="00B643C8">
              <w:rPr>
                <w:rFonts w:eastAsia="仿宋"/>
                <w:color w:val="000000"/>
                <w:sz w:val="18"/>
                <w:szCs w:val="18"/>
              </w:rPr>
              <w:t>Co-investment Entity</w:t>
            </w:r>
          </w:p>
        </w:tc>
        <w:tc>
          <w:tcPr>
            <w:tcW w:w="3103" w:type="dxa"/>
            <w:tcBorders>
              <w:top w:val="nil"/>
              <w:left w:val="nil"/>
              <w:bottom w:val="single" w:sz="4" w:space="0" w:color="auto"/>
              <w:right w:val="single" w:sz="4" w:space="0" w:color="auto"/>
            </w:tcBorders>
            <w:shd w:val="clear" w:color="auto" w:fill="auto"/>
            <w:vAlign w:val="center"/>
            <w:hideMark/>
          </w:tcPr>
          <w:p w14:paraId="44744C04" w14:textId="77777777" w:rsidR="00B643C8" w:rsidRPr="00B643C8" w:rsidRDefault="00B643C8" w:rsidP="00B643C8">
            <w:pPr>
              <w:spacing w:line="200" w:lineRule="exact"/>
              <w:rPr>
                <w:rFonts w:eastAsia="仿宋"/>
                <w:color w:val="000000"/>
                <w:sz w:val="18"/>
                <w:szCs w:val="18"/>
              </w:rPr>
            </w:pPr>
            <w:proofErr w:type="spellStart"/>
            <w:r w:rsidRPr="00B643C8">
              <w:rPr>
                <w:rFonts w:eastAsia="仿宋"/>
                <w:color w:val="000000"/>
                <w:sz w:val="18"/>
                <w:szCs w:val="18"/>
              </w:rPr>
              <w:t>Gongqingcheng</w:t>
            </w:r>
            <w:proofErr w:type="spellEnd"/>
            <w:r w:rsidRPr="00B643C8">
              <w:rPr>
                <w:rFonts w:eastAsia="仿宋"/>
                <w:color w:val="000000"/>
                <w:sz w:val="18"/>
                <w:szCs w:val="18"/>
              </w:rPr>
              <w:t xml:space="preserve"> </w:t>
            </w:r>
            <w:proofErr w:type="spellStart"/>
            <w:r w:rsidRPr="00B643C8">
              <w:rPr>
                <w:rFonts w:eastAsia="仿宋"/>
                <w:color w:val="000000"/>
                <w:sz w:val="18"/>
                <w:szCs w:val="18"/>
              </w:rPr>
              <w:t>Huamei</w:t>
            </w:r>
            <w:proofErr w:type="spellEnd"/>
            <w:r w:rsidRPr="00B643C8">
              <w:rPr>
                <w:rFonts w:eastAsia="仿宋"/>
                <w:color w:val="000000"/>
                <w:sz w:val="18"/>
                <w:szCs w:val="18"/>
              </w:rPr>
              <w:t xml:space="preserve"> </w:t>
            </w:r>
            <w:proofErr w:type="spellStart"/>
            <w:r w:rsidRPr="00B643C8">
              <w:rPr>
                <w:rFonts w:eastAsia="仿宋"/>
                <w:color w:val="000000"/>
                <w:sz w:val="18"/>
                <w:szCs w:val="18"/>
              </w:rPr>
              <w:t>Qixin</w:t>
            </w:r>
            <w:proofErr w:type="spellEnd"/>
            <w:r w:rsidRPr="00B643C8">
              <w:rPr>
                <w:rFonts w:eastAsia="仿宋"/>
                <w:color w:val="000000"/>
                <w:sz w:val="18"/>
                <w:szCs w:val="18"/>
              </w:rPr>
              <w:t xml:space="preserve"> Investment Management L.P.</w:t>
            </w:r>
          </w:p>
        </w:tc>
        <w:tc>
          <w:tcPr>
            <w:tcW w:w="2974" w:type="dxa"/>
            <w:tcBorders>
              <w:top w:val="nil"/>
              <w:left w:val="nil"/>
              <w:bottom w:val="single" w:sz="4" w:space="0" w:color="auto"/>
              <w:right w:val="single" w:sz="4" w:space="0" w:color="auto"/>
            </w:tcBorders>
            <w:shd w:val="clear" w:color="auto" w:fill="auto"/>
            <w:vAlign w:val="center"/>
            <w:hideMark/>
          </w:tcPr>
          <w:p w14:paraId="3C9506E7"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GP: </w:t>
            </w:r>
            <w:proofErr w:type="spellStart"/>
            <w:r w:rsidRPr="00B643C8">
              <w:rPr>
                <w:rFonts w:eastAsia="仿宋"/>
                <w:color w:val="000000"/>
                <w:sz w:val="18"/>
                <w:szCs w:val="18"/>
              </w:rPr>
              <w:t>Angju</w:t>
            </w:r>
            <w:proofErr w:type="spellEnd"/>
          </w:p>
          <w:p w14:paraId="3C369067" w14:textId="7FD5394D" w:rsidR="00B643C8" w:rsidRPr="00B643C8" w:rsidRDefault="00B643C8" w:rsidP="00A26F8C">
            <w:pPr>
              <w:spacing w:line="200" w:lineRule="exact"/>
              <w:rPr>
                <w:rFonts w:eastAsia="仿宋"/>
                <w:color w:val="000000"/>
                <w:sz w:val="18"/>
                <w:szCs w:val="18"/>
              </w:rPr>
            </w:pPr>
            <w:r w:rsidRPr="00B643C8">
              <w:rPr>
                <w:rFonts w:eastAsia="仿宋"/>
                <w:color w:val="000000"/>
                <w:sz w:val="18"/>
                <w:szCs w:val="18"/>
              </w:rPr>
              <w:t xml:space="preserve">LP: </w:t>
            </w:r>
            <w:r w:rsidR="00A26F8C">
              <w:rPr>
                <w:rFonts w:eastAsia="仿宋"/>
                <w:color w:val="000000"/>
                <w:sz w:val="18"/>
                <w:szCs w:val="18"/>
              </w:rPr>
              <w:t>BHR employees</w:t>
            </w:r>
          </w:p>
        </w:tc>
        <w:tc>
          <w:tcPr>
            <w:tcW w:w="1417" w:type="dxa"/>
            <w:tcBorders>
              <w:top w:val="nil"/>
              <w:left w:val="nil"/>
              <w:bottom w:val="single" w:sz="4" w:space="0" w:color="auto"/>
              <w:right w:val="single" w:sz="4" w:space="0" w:color="auto"/>
            </w:tcBorders>
            <w:shd w:val="clear" w:color="auto" w:fill="auto"/>
            <w:vAlign w:val="center"/>
            <w:hideMark/>
          </w:tcPr>
          <w:p w14:paraId="144E9A02" w14:textId="77777777" w:rsidR="00B643C8" w:rsidRPr="00B643C8" w:rsidRDefault="00B643C8" w:rsidP="00B643C8">
            <w:pPr>
              <w:spacing w:line="200" w:lineRule="exact"/>
              <w:rPr>
                <w:rFonts w:eastAsia="仿宋"/>
                <w:color w:val="000000"/>
                <w:sz w:val="18"/>
                <w:szCs w:val="18"/>
              </w:rPr>
            </w:pPr>
            <w:proofErr w:type="spellStart"/>
            <w:r w:rsidRPr="00B643C8">
              <w:rPr>
                <w:rFonts w:eastAsia="仿宋"/>
                <w:color w:val="000000"/>
                <w:sz w:val="18"/>
                <w:szCs w:val="18"/>
              </w:rPr>
              <w:t>Gongqingcheng</w:t>
            </w:r>
            <w:proofErr w:type="spellEnd"/>
            <w:r w:rsidRPr="00B643C8">
              <w:rPr>
                <w:rFonts w:eastAsia="仿宋"/>
                <w:color w:val="000000"/>
                <w:sz w:val="18"/>
                <w:szCs w:val="18"/>
              </w:rPr>
              <w:t>, Jiangxi</w:t>
            </w:r>
          </w:p>
        </w:tc>
        <w:tc>
          <w:tcPr>
            <w:tcW w:w="957" w:type="dxa"/>
            <w:tcBorders>
              <w:top w:val="nil"/>
              <w:left w:val="nil"/>
              <w:bottom w:val="single" w:sz="4" w:space="0" w:color="auto"/>
              <w:right w:val="single" w:sz="4" w:space="0" w:color="auto"/>
            </w:tcBorders>
            <w:shd w:val="clear" w:color="auto" w:fill="auto"/>
            <w:vAlign w:val="center"/>
            <w:hideMark/>
          </w:tcPr>
          <w:p w14:paraId="2677095B"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1</w:t>
            </w:r>
          </w:p>
        </w:tc>
        <w:tc>
          <w:tcPr>
            <w:tcW w:w="2445" w:type="dxa"/>
            <w:tcBorders>
              <w:top w:val="nil"/>
              <w:left w:val="nil"/>
              <w:bottom w:val="single" w:sz="4" w:space="0" w:color="auto"/>
              <w:right w:val="single" w:sz="4" w:space="0" w:color="auto"/>
            </w:tcBorders>
            <w:shd w:val="clear" w:color="auto" w:fill="auto"/>
            <w:vAlign w:val="center"/>
            <w:hideMark/>
          </w:tcPr>
          <w:p w14:paraId="3FAEBE9A"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Will serve as LP and co-invest in deal funds with other investors.</w:t>
            </w:r>
          </w:p>
        </w:tc>
      </w:tr>
      <w:tr w:rsidR="00E93C81" w:rsidRPr="00B643C8" w14:paraId="572E6D10" w14:textId="77777777" w:rsidTr="005F5823">
        <w:trPr>
          <w:trHeight w:val="552"/>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0FB16546" w14:textId="77777777" w:rsidR="00B643C8" w:rsidRPr="00B643C8" w:rsidRDefault="00B643C8" w:rsidP="00B643C8">
            <w:pPr>
              <w:spacing w:line="200" w:lineRule="exact"/>
              <w:rPr>
                <w:rFonts w:eastAsia="仿宋"/>
                <w:b/>
                <w:color w:val="000000"/>
                <w:sz w:val="18"/>
                <w:szCs w:val="18"/>
              </w:rPr>
            </w:pPr>
            <w:r w:rsidRPr="00B643C8">
              <w:rPr>
                <w:rFonts w:eastAsia="仿宋" w:hint="eastAsia"/>
                <w:b/>
                <w:color w:val="000000"/>
                <w:sz w:val="18"/>
                <w:szCs w:val="18"/>
              </w:rPr>
              <w:t>Offshore</w:t>
            </w:r>
          </w:p>
        </w:tc>
        <w:tc>
          <w:tcPr>
            <w:tcW w:w="1906" w:type="dxa"/>
            <w:tcBorders>
              <w:top w:val="nil"/>
              <w:left w:val="nil"/>
              <w:bottom w:val="single" w:sz="4" w:space="0" w:color="auto"/>
              <w:right w:val="single" w:sz="4" w:space="0" w:color="auto"/>
            </w:tcBorders>
            <w:shd w:val="clear" w:color="auto" w:fill="auto"/>
            <w:vAlign w:val="center"/>
            <w:hideMark/>
          </w:tcPr>
          <w:p w14:paraId="2386EC2C" w14:textId="32044180" w:rsidR="00B643C8" w:rsidRPr="00B643C8" w:rsidRDefault="00A26F8C" w:rsidP="00A26F8C">
            <w:pPr>
              <w:spacing w:line="200" w:lineRule="exact"/>
              <w:rPr>
                <w:rFonts w:eastAsia="仿宋"/>
                <w:color w:val="000000"/>
                <w:sz w:val="18"/>
                <w:szCs w:val="18"/>
              </w:rPr>
            </w:pPr>
            <w:r>
              <w:rPr>
                <w:rFonts w:eastAsia="仿宋"/>
                <w:color w:val="000000"/>
                <w:sz w:val="18"/>
                <w:szCs w:val="18"/>
              </w:rPr>
              <w:t xml:space="preserve">Direct </w:t>
            </w:r>
            <w:r w:rsidRPr="00B643C8">
              <w:rPr>
                <w:rFonts w:eastAsia="仿宋" w:hint="eastAsia"/>
                <w:color w:val="000000"/>
                <w:sz w:val="18"/>
                <w:szCs w:val="18"/>
              </w:rPr>
              <w:t>Subsidiar</w:t>
            </w:r>
            <w:r>
              <w:rPr>
                <w:rFonts w:eastAsia="仿宋"/>
                <w:color w:val="000000"/>
                <w:sz w:val="18"/>
                <w:szCs w:val="18"/>
              </w:rPr>
              <w:t>ies</w:t>
            </w:r>
          </w:p>
        </w:tc>
        <w:tc>
          <w:tcPr>
            <w:tcW w:w="3103" w:type="dxa"/>
            <w:tcBorders>
              <w:top w:val="nil"/>
              <w:left w:val="nil"/>
              <w:bottom w:val="single" w:sz="4" w:space="0" w:color="auto"/>
              <w:right w:val="single" w:sz="4" w:space="0" w:color="auto"/>
            </w:tcBorders>
            <w:shd w:val="clear" w:color="auto" w:fill="auto"/>
            <w:vAlign w:val="center"/>
            <w:hideMark/>
          </w:tcPr>
          <w:p w14:paraId="0A1F213D"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BHR Investment Management Limited</w:t>
            </w:r>
            <w:r w:rsidRPr="00B643C8">
              <w:rPr>
                <w:rFonts w:eastAsia="仿宋"/>
                <w:color w:val="000000"/>
                <w:sz w:val="18"/>
                <w:szCs w:val="18"/>
              </w:rPr>
              <w:br/>
              <w:t>BHR Investment Consulting Limited</w:t>
            </w:r>
          </w:p>
        </w:tc>
        <w:tc>
          <w:tcPr>
            <w:tcW w:w="2974" w:type="dxa"/>
            <w:tcBorders>
              <w:top w:val="nil"/>
              <w:left w:val="nil"/>
              <w:bottom w:val="single" w:sz="4" w:space="0" w:color="auto"/>
              <w:right w:val="single" w:sz="4" w:space="0" w:color="auto"/>
            </w:tcBorders>
            <w:shd w:val="clear" w:color="auto" w:fill="auto"/>
            <w:vAlign w:val="center"/>
            <w:hideMark/>
          </w:tcPr>
          <w:p w14:paraId="674ADF0D" w14:textId="68518F28" w:rsidR="00B643C8" w:rsidRPr="00B643C8" w:rsidRDefault="00B643C8" w:rsidP="00113311">
            <w:pPr>
              <w:spacing w:line="200" w:lineRule="exact"/>
              <w:rPr>
                <w:rFonts w:eastAsia="仿宋"/>
                <w:color w:val="000000"/>
                <w:sz w:val="18"/>
                <w:szCs w:val="18"/>
              </w:rPr>
            </w:pPr>
            <w:r w:rsidRPr="00B643C8">
              <w:rPr>
                <w:rFonts w:eastAsia="仿宋"/>
                <w:color w:val="000000"/>
                <w:sz w:val="18"/>
                <w:szCs w:val="18"/>
              </w:rPr>
              <w:t xml:space="preserve">Shareholder: </w:t>
            </w:r>
            <w:r w:rsidR="00113311">
              <w:rPr>
                <w:rFonts w:eastAsia="仿宋"/>
                <w:color w:val="000000"/>
                <w:sz w:val="18"/>
                <w:szCs w:val="18"/>
              </w:rPr>
              <w:t>BHR</w:t>
            </w:r>
          </w:p>
        </w:tc>
        <w:tc>
          <w:tcPr>
            <w:tcW w:w="1417" w:type="dxa"/>
            <w:tcBorders>
              <w:top w:val="nil"/>
              <w:left w:val="nil"/>
              <w:bottom w:val="single" w:sz="4" w:space="0" w:color="auto"/>
              <w:right w:val="single" w:sz="4" w:space="0" w:color="auto"/>
            </w:tcBorders>
            <w:shd w:val="clear" w:color="auto" w:fill="auto"/>
            <w:vAlign w:val="center"/>
            <w:hideMark/>
          </w:tcPr>
          <w:p w14:paraId="3E5BD0E9"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Hong Kong</w:t>
            </w:r>
          </w:p>
        </w:tc>
        <w:tc>
          <w:tcPr>
            <w:tcW w:w="957" w:type="dxa"/>
            <w:tcBorders>
              <w:top w:val="nil"/>
              <w:left w:val="nil"/>
              <w:bottom w:val="single" w:sz="4" w:space="0" w:color="auto"/>
              <w:right w:val="single" w:sz="4" w:space="0" w:color="auto"/>
            </w:tcBorders>
            <w:shd w:val="clear" w:color="auto" w:fill="auto"/>
            <w:vAlign w:val="center"/>
            <w:hideMark/>
          </w:tcPr>
          <w:p w14:paraId="636A56A8"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2</w:t>
            </w:r>
          </w:p>
        </w:tc>
        <w:tc>
          <w:tcPr>
            <w:tcW w:w="2445" w:type="dxa"/>
            <w:tcBorders>
              <w:top w:val="nil"/>
              <w:left w:val="nil"/>
              <w:bottom w:val="single" w:sz="4" w:space="0" w:color="auto"/>
              <w:right w:val="single" w:sz="4" w:space="0" w:color="auto"/>
            </w:tcBorders>
            <w:shd w:val="clear" w:color="auto" w:fill="auto"/>
            <w:vAlign w:val="center"/>
            <w:hideMark/>
          </w:tcPr>
          <w:p w14:paraId="018B46F9"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 xml:space="preserve">　</w:t>
            </w:r>
          </w:p>
        </w:tc>
      </w:tr>
      <w:tr w:rsidR="00E93C81" w:rsidRPr="00B643C8" w14:paraId="5F499281" w14:textId="77777777" w:rsidTr="005F5823">
        <w:trPr>
          <w:trHeight w:val="712"/>
        </w:trPr>
        <w:tc>
          <w:tcPr>
            <w:tcW w:w="948" w:type="dxa"/>
            <w:vMerge/>
            <w:tcBorders>
              <w:top w:val="nil"/>
              <w:left w:val="single" w:sz="4" w:space="0" w:color="auto"/>
              <w:bottom w:val="single" w:sz="4" w:space="0" w:color="auto"/>
              <w:right w:val="single" w:sz="4" w:space="0" w:color="auto"/>
            </w:tcBorders>
            <w:vAlign w:val="center"/>
            <w:hideMark/>
          </w:tcPr>
          <w:p w14:paraId="2B1AD7E8" w14:textId="77777777" w:rsidR="00B643C8" w:rsidRPr="00B643C8" w:rsidRDefault="00B643C8" w:rsidP="00B643C8">
            <w:pPr>
              <w:spacing w:line="200" w:lineRule="exact"/>
              <w:rPr>
                <w:rFonts w:eastAsia="仿宋"/>
                <w:b/>
                <w:color w:val="000000"/>
                <w:sz w:val="18"/>
                <w:szCs w:val="18"/>
              </w:rPr>
            </w:pPr>
          </w:p>
        </w:tc>
        <w:tc>
          <w:tcPr>
            <w:tcW w:w="1906" w:type="dxa"/>
            <w:tcBorders>
              <w:top w:val="nil"/>
              <w:left w:val="nil"/>
              <w:bottom w:val="single" w:sz="4" w:space="0" w:color="auto"/>
              <w:right w:val="single" w:sz="4" w:space="0" w:color="auto"/>
            </w:tcBorders>
            <w:shd w:val="clear" w:color="auto" w:fill="auto"/>
            <w:vAlign w:val="center"/>
            <w:hideMark/>
          </w:tcPr>
          <w:p w14:paraId="3FD99D19" w14:textId="127F298D" w:rsidR="00B643C8" w:rsidRPr="00B643C8" w:rsidRDefault="00113311" w:rsidP="00113311">
            <w:pPr>
              <w:spacing w:line="200" w:lineRule="exact"/>
              <w:rPr>
                <w:rFonts w:eastAsia="仿宋"/>
                <w:sz w:val="18"/>
                <w:szCs w:val="18"/>
              </w:rPr>
            </w:pPr>
            <w:r>
              <w:rPr>
                <w:rFonts w:eastAsia="仿宋"/>
                <w:sz w:val="18"/>
                <w:szCs w:val="18"/>
              </w:rPr>
              <w:t xml:space="preserve">Indirect </w:t>
            </w:r>
            <w:r w:rsidRPr="00B643C8">
              <w:rPr>
                <w:rFonts w:eastAsia="仿宋" w:hint="eastAsia"/>
                <w:sz w:val="18"/>
                <w:szCs w:val="18"/>
              </w:rPr>
              <w:t>subsidiar</w:t>
            </w:r>
            <w:r>
              <w:rPr>
                <w:rFonts w:eastAsia="仿宋"/>
                <w:sz w:val="18"/>
                <w:szCs w:val="18"/>
              </w:rPr>
              <w:t>ies</w:t>
            </w:r>
          </w:p>
        </w:tc>
        <w:tc>
          <w:tcPr>
            <w:tcW w:w="3103" w:type="dxa"/>
            <w:tcBorders>
              <w:top w:val="nil"/>
              <w:left w:val="nil"/>
              <w:bottom w:val="single" w:sz="4" w:space="0" w:color="auto"/>
              <w:right w:val="single" w:sz="4" w:space="0" w:color="auto"/>
            </w:tcBorders>
            <w:shd w:val="clear" w:color="auto" w:fill="auto"/>
            <w:vAlign w:val="center"/>
            <w:hideMark/>
          </w:tcPr>
          <w:p w14:paraId="1A6C9C4E" w14:textId="77777777" w:rsidR="00B643C8" w:rsidRPr="00B643C8" w:rsidRDefault="00B643C8" w:rsidP="00B643C8">
            <w:pPr>
              <w:spacing w:line="200" w:lineRule="exact"/>
              <w:rPr>
                <w:rFonts w:eastAsia="仿宋"/>
                <w:sz w:val="18"/>
                <w:szCs w:val="18"/>
              </w:rPr>
            </w:pPr>
            <w:r w:rsidRPr="00B643C8">
              <w:rPr>
                <w:rFonts w:eastAsia="仿宋"/>
                <w:sz w:val="18"/>
                <w:szCs w:val="18"/>
              </w:rPr>
              <w:t>BHR (Cayman) Management Limited</w:t>
            </w:r>
            <w:r w:rsidRPr="00B643C8">
              <w:rPr>
                <w:rFonts w:eastAsia="仿宋"/>
                <w:sz w:val="18"/>
                <w:szCs w:val="18"/>
              </w:rPr>
              <w:br/>
              <w:t>BHR (Cayman) GP I, L.P.</w:t>
            </w:r>
            <w:r w:rsidRPr="00B643C8">
              <w:rPr>
                <w:rFonts w:eastAsia="仿宋"/>
                <w:sz w:val="18"/>
                <w:szCs w:val="18"/>
              </w:rPr>
              <w:br/>
              <w:t>BHR (Cayman) GP II, L.P.</w:t>
            </w:r>
            <w:r w:rsidRPr="00B643C8">
              <w:rPr>
                <w:rFonts w:eastAsia="仿宋"/>
                <w:sz w:val="18"/>
                <w:szCs w:val="18"/>
              </w:rPr>
              <w:br/>
              <w:t>BHR (Cayman) GP III, L.P.</w:t>
            </w:r>
          </w:p>
        </w:tc>
        <w:tc>
          <w:tcPr>
            <w:tcW w:w="2974" w:type="dxa"/>
            <w:tcBorders>
              <w:top w:val="nil"/>
              <w:left w:val="nil"/>
              <w:bottom w:val="single" w:sz="4" w:space="0" w:color="auto"/>
              <w:right w:val="single" w:sz="4" w:space="0" w:color="auto"/>
            </w:tcBorders>
            <w:shd w:val="clear" w:color="auto" w:fill="auto"/>
            <w:vAlign w:val="center"/>
            <w:hideMark/>
          </w:tcPr>
          <w:p w14:paraId="53B5161B" w14:textId="77777777" w:rsidR="00B643C8" w:rsidRPr="00B643C8" w:rsidRDefault="00B643C8" w:rsidP="00B643C8">
            <w:pPr>
              <w:spacing w:line="200" w:lineRule="exact"/>
              <w:rPr>
                <w:rFonts w:eastAsia="仿宋"/>
                <w:sz w:val="18"/>
                <w:szCs w:val="18"/>
              </w:rPr>
            </w:pPr>
            <w:r w:rsidRPr="00B643C8">
              <w:rPr>
                <w:rFonts w:eastAsia="仿宋"/>
                <w:sz w:val="18"/>
                <w:szCs w:val="18"/>
              </w:rPr>
              <w:t>Shareholder: BHR Investment Management Limited</w:t>
            </w:r>
          </w:p>
        </w:tc>
        <w:tc>
          <w:tcPr>
            <w:tcW w:w="1417" w:type="dxa"/>
            <w:tcBorders>
              <w:top w:val="nil"/>
              <w:left w:val="nil"/>
              <w:bottom w:val="single" w:sz="4" w:space="0" w:color="auto"/>
              <w:right w:val="single" w:sz="4" w:space="0" w:color="auto"/>
            </w:tcBorders>
            <w:shd w:val="clear" w:color="auto" w:fill="auto"/>
            <w:vAlign w:val="center"/>
            <w:hideMark/>
          </w:tcPr>
          <w:p w14:paraId="651DE55E" w14:textId="77777777" w:rsidR="00B643C8" w:rsidRPr="00B643C8" w:rsidRDefault="00B643C8" w:rsidP="00B643C8">
            <w:pPr>
              <w:spacing w:line="200" w:lineRule="exact"/>
              <w:rPr>
                <w:rFonts w:eastAsia="仿宋"/>
                <w:sz w:val="18"/>
                <w:szCs w:val="18"/>
              </w:rPr>
            </w:pPr>
            <w:r w:rsidRPr="00B643C8">
              <w:rPr>
                <w:rFonts w:eastAsia="仿宋" w:hint="eastAsia"/>
                <w:sz w:val="18"/>
                <w:szCs w:val="18"/>
              </w:rPr>
              <w:t>Cayman</w:t>
            </w:r>
          </w:p>
        </w:tc>
        <w:tc>
          <w:tcPr>
            <w:tcW w:w="957" w:type="dxa"/>
            <w:tcBorders>
              <w:top w:val="nil"/>
              <w:left w:val="nil"/>
              <w:bottom w:val="single" w:sz="4" w:space="0" w:color="auto"/>
              <w:right w:val="single" w:sz="4" w:space="0" w:color="auto"/>
            </w:tcBorders>
            <w:shd w:val="clear" w:color="auto" w:fill="auto"/>
            <w:vAlign w:val="center"/>
            <w:hideMark/>
          </w:tcPr>
          <w:p w14:paraId="46F54600" w14:textId="77777777" w:rsidR="00B643C8" w:rsidRPr="00B643C8" w:rsidRDefault="00B643C8" w:rsidP="00B643C8">
            <w:pPr>
              <w:spacing w:line="200" w:lineRule="exact"/>
              <w:jc w:val="center"/>
              <w:rPr>
                <w:rFonts w:eastAsia="仿宋"/>
                <w:sz w:val="18"/>
                <w:szCs w:val="18"/>
              </w:rPr>
            </w:pPr>
            <w:r w:rsidRPr="00B643C8">
              <w:rPr>
                <w:rFonts w:eastAsia="仿宋"/>
                <w:sz w:val="18"/>
                <w:szCs w:val="18"/>
              </w:rPr>
              <w:t>4</w:t>
            </w:r>
          </w:p>
        </w:tc>
        <w:tc>
          <w:tcPr>
            <w:tcW w:w="2445" w:type="dxa"/>
            <w:tcBorders>
              <w:top w:val="nil"/>
              <w:left w:val="nil"/>
              <w:bottom w:val="single" w:sz="4" w:space="0" w:color="auto"/>
              <w:right w:val="single" w:sz="4" w:space="0" w:color="auto"/>
            </w:tcBorders>
            <w:shd w:val="clear" w:color="auto" w:fill="auto"/>
            <w:vAlign w:val="center"/>
            <w:hideMark/>
          </w:tcPr>
          <w:p w14:paraId="4A8B5BB2" w14:textId="77777777" w:rsidR="00B643C8" w:rsidRPr="00B643C8" w:rsidRDefault="00B643C8" w:rsidP="00B643C8">
            <w:pPr>
              <w:spacing w:line="200" w:lineRule="exact"/>
              <w:rPr>
                <w:rFonts w:eastAsia="仿宋"/>
                <w:sz w:val="18"/>
                <w:szCs w:val="18"/>
              </w:rPr>
            </w:pPr>
            <w:r w:rsidRPr="00B643C8">
              <w:rPr>
                <w:rFonts w:eastAsia="仿宋"/>
                <w:sz w:val="18"/>
                <w:szCs w:val="18"/>
              </w:rPr>
              <w:t>Will serve as Manager/GP of shell funds in Cayman Islands.</w:t>
            </w:r>
          </w:p>
        </w:tc>
      </w:tr>
      <w:tr w:rsidR="00353EA8" w:rsidRPr="00B643C8" w14:paraId="55DA51E4" w14:textId="77777777" w:rsidTr="005F5823">
        <w:trPr>
          <w:trHeight w:val="425"/>
        </w:trPr>
        <w:tc>
          <w:tcPr>
            <w:tcW w:w="948" w:type="dxa"/>
            <w:vMerge/>
            <w:tcBorders>
              <w:top w:val="nil"/>
              <w:left w:val="single" w:sz="4" w:space="0" w:color="auto"/>
              <w:bottom w:val="single" w:sz="4" w:space="0" w:color="auto"/>
              <w:right w:val="single" w:sz="4" w:space="0" w:color="auto"/>
            </w:tcBorders>
            <w:vAlign w:val="center"/>
          </w:tcPr>
          <w:p w14:paraId="26855C84" w14:textId="77777777" w:rsidR="00353EA8" w:rsidRPr="00B643C8" w:rsidRDefault="00353EA8" w:rsidP="00B643C8">
            <w:pPr>
              <w:spacing w:line="200" w:lineRule="exact"/>
              <w:rPr>
                <w:rFonts w:eastAsia="仿宋"/>
                <w:b/>
                <w:color w:val="000000"/>
                <w:sz w:val="18"/>
                <w:szCs w:val="18"/>
              </w:rPr>
            </w:pPr>
          </w:p>
        </w:tc>
        <w:tc>
          <w:tcPr>
            <w:tcW w:w="1906" w:type="dxa"/>
            <w:vMerge w:val="restart"/>
            <w:tcBorders>
              <w:top w:val="nil"/>
              <w:left w:val="single" w:sz="4" w:space="0" w:color="auto"/>
              <w:right w:val="single" w:sz="4" w:space="0" w:color="auto"/>
            </w:tcBorders>
            <w:shd w:val="clear" w:color="auto" w:fill="auto"/>
            <w:vAlign w:val="center"/>
          </w:tcPr>
          <w:p w14:paraId="1739B9E8" w14:textId="77777777" w:rsidR="00353EA8" w:rsidDel="00353EA8" w:rsidRDefault="00353EA8" w:rsidP="00B643C8">
            <w:pPr>
              <w:spacing w:line="200" w:lineRule="exact"/>
              <w:rPr>
                <w:rFonts w:eastAsia="仿宋"/>
                <w:color w:val="000000"/>
                <w:sz w:val="18"/>
                <w:szCs w:val="18"/>
              </w:rPr>
            </w:pPr>
            <w:r>
              <w:rPr>
                <w:rFonts w:eastAsia="仿宋" w:hint="eastAsia"/>
                <w:color w:val="000000"/>
                <w:sz w:val="18"/>
                <w:szCs w:val="18"/>
              </w:rPr>
              <w:t>S</w:t>
            </w:r>
            <w:r>
              <w:rPr>
                <w:rFonts w:eastAsia="仿宋"/>
                <w:color w:val="000000"/>
                <w:sz w:val="18"/>
                <w:szCs w:val="18"/>
              </w:rPr>
              <w:t>PV</w:t>
            </w:r>
          </w:p>
          <w:p w14:paraId="653B0E51" w14:textId="749017E4" w:rsidR="00353EA8" w:rsidDel="00353EA8" w:rsidRDefault="00353EA8" w:rsidP="00B643C8">
            <w:pPr>
              <w:spacing w:line="200" w:lineRule="exact"/>
              <w:rPr>
                <w:rFonts w:eastAsia="仿宋"/>
                <w:color w:val="000000"/>
                <w:sz w:val="18"/>
                <w:szCs w:val="18"/>
              </w:rPr>
            </w:pPr>
          </w:p>
        </w:tc>
        <w:tc>
          <w:tcPr>
            <w:tcW w:w="3103" w:type="dxa"/>
            <w:tcBorders>
              <w:top w:val="nil"/>
              <w:left w:val="nil"/>
              <w:bottom w:val="single" w:sz="4" w:space="0" w:color="auto"/>
              <w:right w:val="single" w:sz="4" w:space="0" w:color="auto"/>
            </w:tcBorders>
            <w:shd w:val="clear" w:color="auto" w:fill="auto"/>
            <w:vAlign w:val="center"/>
          </w:tcPr>
          <w:p w14:paraId="25A11584" w14:textId="7C48E76B" w:rsidR="00353EA8" w:rsidRDefault="00353EA8" w:rsidP="00B643C8">
            <w:pPr>
              <w:spacing w:line="200" w:lineRule="exact"/>
              <w:rPr>
                <w:rFonts w:eastAsia="仿宋"/>
                <w:color w:val="000000"/>
                <w:sz w:val="18"/>
                <w:szCs w:val="18"/>
              </w:rPr>
            </w:pPr>
            <w:r w:rsidRPr="00353EA8">
              <w:rPr>
                <w:rFonts w:eastAsia="仿宋"/>
                <w:color w:val="000000"/>
                <w:sz w:val="18"/>
                <w:szCs w:val="18"/>
              </w:rPr>
              <w:t>BHR Win XXX Investment Management Limited</w:t>
            </w:r>
          </w:p>
        </w:tc>
        <w:tc>
          <w:tcPr>
            <w:tcW w:w="2974" w:type="dxa"/>
            <w:tcBorders>
              <w:top w:val="nil"/>
              <w:left w:val="nil"/>
              <w:bottom w:val="single" w:sz="4" w:space="0" w:color="auto"/>
              <w:right w:val="single" w:sz="4" w:space="0" w:color="auto"/>
            </w:tcBorders>
            <w:shd w:val="clear" w:color="auto" w:fill="auto"/>
            <w:vAlign w:val="center"/>
          </w:tcPr>
          <w:p w14:paraId="2FC3257F" w14:textId="5DE05DAD" w:rsidR="00353EA8" w:rsidRPr="00B643C8" w:rsidRDefault="00353EA8" w:rsidP="00113311">
            <w:pPr>
              <w:spacing w:line="200" w:lineRule="exact"/>
              <w:rPr>
                <w:rFonts w:eastAsia="仿宋"/>
                <w:color w:val="000000"/>
                <w:sz w:val="18"/>
                <w:szCs w:val="18"/>
              </w:rPr>
            </w:pPr>
            <w:r w:rsidRPr="00B643C8">
              <w:rPr>
                <w:rFonts w:eastAsia="仿宋"/>
                <w:sz w:val="18"/>
                <w:szCs w:val="18"/>
              </w:rPr>
              <w:t>Shareholder: BHR Investment Management Limited</w:t>
            </w:r>
          </w:p>
        </w:tc>
        <w:tc>
          <w:tcPr>
            <w:tcW w:w="1417" w:type="dxa"/>
            <w:tcBorders>
              <w:top w:val="nil"/>
              <w:left w:val="nil"/>
              <w:bottom w:val="single" w:sz="4" w:space="0" w:color="auto"/>
              <w:right w:val="single" w:sz="4" w:space="0" w:color="auto"/>
            </w:tcBorders>
            <w:shd w:val="clear" w:color="auto" w:fill="auto"/>
            <w:vAlign w:val="center"/>
          </w:tcPr>
          <w:p w14:paraId="6C8249FB" w14:textId="024623B5" w:rsidR="00353EA8" w:rsidRPr="00B643C8" w:rsidRDefault="00353EA8" w:rsidP="00B643C8">
            <w:pPr>
              <w:spacing w:line="200" w:lineRule="exact"/>
              <w:rPr>
                <w:rFonts w:eastAsia="仿宋"/>
                <w:color w:val="000000"/>
                <w:sz w:val="18"/>
                <w:szCs w:val="18"/>
              </w:rPr>
            </w:pPr>
            <w:r>
              <w:rPr>
                <w:rFonts w:eastAsia="仿宋" w:hint="eastAsia"/>
                <w:color w:val="000000"/>
                <w:sz w:val="18"/>
                <w:szCs w:val="18"/>
              </w:rPr>
              <w:t>H</w:t>
            </w:r>
            <w:r>
              <w:rPr>
                <w:rFonts w:eastAsia="仿宋"/>
                <w:color w:val="000000"/>
                <w:sz w:val="18"/>
                <w:szCs w:val="18"/>
              </w:rPr>
              <w:t>ong Kong</w:t>
            </w:r>
          </w:p>
        </w:tc>
        <w:tc>
          <w:tcPr>
            <w:tcW w:w="957" w:type="dxa"/>
            <w:tcBorders>
              <w:top w:val="nil"/>
              <w:left w:val="nil"/>
              <w:bottom w:val="single" w:sz="4" w:space="0" w:color="auto"/>
              <w:right w:val="single" w:sz="4" w:space="0" w:color="auto"/>
            </w:tcBorders>
            <w:shd w:val="clear" w:color="auto" w:fill="auto"/>
            <w:vAlign w:val="center"/>
          </w:tcPr>
          <w:p w14:paraId="5D5D2203" w14:textId="3E455637" w:rsidR="00353EA8" w:rsidRPr="00B643C8" w:rsidRDefault="00353EA8" w:rsidP="00B643C8">
            <w:pPr>
              <w:spacing w:line="200" w:lineRule="exact"/>
              <w:jc w:val="center"/>
              <w:rPr>
                <w:rFonts w:eastAsia="仿宋"/>
                <w:color w:val="000000"/>
                <w:sz w:val="18"/>
                <w:szCs w:val="18"/>
              </w:rPr>
            </w:pPr>
            <w:r>
              <w:rPr>
                <w:rFonts w:eastAsia="仿宋" w:hint="eastAsia"/>
                <w:color w:val="000000"/>
                <w:sz w:val="18"/>
                <w:szCs w:val="18"/>
              </w:rPr>
              <w:t>4</w:t>
            </w:r>
          </w:p>
        </w:tc>
        <w:tc>
          <w:tcPr>
            <w:tcW w:w="2445" w:type="dxa"/>
            <w:vMerge w:val="restart"/>
            <w:tcBorders>
              <w:top w:val="nil"/>
              <w:left w:val="single" w:sz="4" w:space="0" w:color="auto"/>
              <w:right w:val="single" w:sz="4" w:space="0" w:color="auto"/>
            </w:tcBorders>
            <w:shd w:val="clear" w:color="auto" w:fill="auto"/>
            <w:vAlign w:val="center"/>
          </w:tcPr>
          <w:p w14:paraId="58EEA26F" w14:textId="2A9D6950" w:rsidR="00353EA8" w:rsidRPr="00B643C8" w:rsidRDefault="00353EA8" w:rsidP="00113311">
            <w:pPr>
              <w:spacing w:line="200" w:lineRule="exact"/>
              <w:rPr>
                <w:rFonts w:eastAsia="仿宋"/>
                <w:color w:val="000000"/>
                <w:sz w:val="18"/>
                <w:szCs w:val="18"/>
              </w:rPr>
            </w:pPr>
            <w:r w:rsidRPr="00B643C8">
              <w:rPr>
                <w:rFonts w:eastAsia="仿宋"/>
                <w:color w:val="000000"/>
                <w:sz w:val="18"/>
                <w:szCs w:val="18"/>
              </w:rPr>
              <w:t>Will serve as SPVs in overseas M&amp;A projects</w:t>
            </w:r>
            <w:r>
              <w:rPr>
                <w:rFonts w:eastAsia="仿宋"/>
                <w:color w:val="000000"/>
                <w:sz w:val="18"/>
                <w:szCs w:val="18"/>
              </w:rPr>
              <w:t xml:space="preserve"> where</w:t>
            </w:r>
            <w:r w:rsidRPr="00B643C8">
              <w:rPr>
                <w:rFonts w:eastAsia="仿宋"/>
                <w:color w:val="000000"/>
                <w:sz w:val="18"/>
                <w:szCs w:val="18"/>
              </w:rPr>
              <w:t xml:space="preserve"> Jonathan Li </w:t>
            </w:r>
            <w:r>
              <w:rPr>
                <w:rFonts w:eastAsia="仿宋"/>
                <w:color w:val="000000"/>
                <w:sz w:val="18"/>
                <w:szCs w:val="18"/>
              </w:rPr>
              <w:t>serves as</w:t>
            </w:r>
            <w:r w:rsidRPr="00B643C8">
              <w:rPr>
                <w:rFonts w:eastAsia="仿宋"/>
                <w:color w:val="000000"/>
                <w:sz w:val="18"/>
                <w:szCs w:val="18"/>
              </w:rPr>
              <w:t xml:space="preserve"> the sole</w:t>
            </w:r>
            <w:r>
              <w:rPr>
                <w:rFonts w:eastAsia="仿宋"/>
                <w:color w:val="000000"/>
                <w:sz w:val="18"/>
                <w:szCs w:val="18"/>
              </w:rPr>
              <w:t xml:space="preserve"> initial</w:t>
            </w:r>
            <w:r w:rsidRPr="00B643C8">
              <w:rPr>
                <w:rFonts w:eastAsia="仿宋"/>
                <w:color w:val="000000"/>
                <w:sz w:val="18"/>
                <w:szCs w:val="18"/>
              </w:rPr>
              <w:t xml:space="preserve"> shareholder</w:t>
            </w:r>
            <w:r>
              <w:rPr>
                <w:rFonts w:eastAsia="仿宋"/>
                <w:color w:val="000000"/>
                <w:sz w:val="18"/>
                <w:szCs w:val="18"/>
              </w:rPr>
              <w:t xml:space="preserve"> and</w:t>
            </w:r>
            <w:r w:rsidRPr="00B643C8">
              <w:rPr>
                <w:rFonts w:eastAsia="仿宋"/>
                <w:color w:val="000000"/>
                <w:sz w:val="18"/>
                <w:szCs w:val="18"/>
              </w:rPr>
              <w:t xml:space="preserve"> upon registration</w:t>
            </w:r>
            <w:r>
              <w:rPr>
                <w:rFonts w:eastAsia="仿宋"/>
                <w:color w:val="000000"/>
                <w:sz w:val="18"/>
                <w:szCs w:val="18"/>
              </w:rPr>
              <w:t xml:space="preserve"> </w:t>
            </w:r>
            <w:r w:rsidRPr="00B643C8">
              <w:rPr>
                <w:rFonts w:eastAsia="仿宋"/>
                <w:color w:val="000000"/>
                <w:sz w:val="18"/>
                <w:szCs w:val="18"/>
              </w:rPr>
              <w:t>transfer</w:t>
            </w:r>
            <w:r>
              <w:rPr>
                <w:rFonts w:eastAsia="仿宋"/>
                <w:color w:val="000000"/>
                <w:sz w:val="18"/>
                <w:szCs w:val="18"/>
              </w:rPr>
              <w:t>s</w:t>
            </w:r>
            <w:r w:rsidRPr="00B643C8">
              <w:rPr>
                <w:rFonts w:eastAsia="仿宋"/>
                <w:color w:val="000000"/>
                <w:sz w:val="18"/>
                <w:szCs w:val="18"/>
              </w:rPr>
              <w:t xml:space="preserve"> all his shares to the deal fund </w:t>
            </w:r>
            <w:r>
              <w:rPr>
                <w:rFonts w:eastAsia="仿宋"/>
                <w:color w:val="000000"/>
                <w:sz w:val="18"/>
                <w:szCs w:val="18"/>
              </w:rPr>
              <w:t>a</w:t>
            </w:r>
            <w:r w:rsidRPr="00B643C8">
              <w:rPr>
                <w:rFonts w:eastAsia="仿宋"/>
                <w:color w:val="000000"/>
                <w:sz w:val="18"/>
                <w:szCs w:val="18"/>
              </w:rPr>
              <w:t>s necessary.</w:t>
            </w:r>
          </w:p>
        </w:tc>
      </w:tr>
      <w:tr w:rsidR="00353EA8" w:rsidRPr="00B643C8" w14:paraId="3F180AD8" w14:textId="77777777" w:rsidTr="005F5823">
        <w:trPr>
          <w:trHeight w:val="425"/>
        </w:trPr>
        <w:tc>
          <w:tcPr>
            <w:tcW w:w="948" w:type="dxa"/>
            <w:vMerge/>
            <w:tcBorders>
              <w:top w:val="nil"/>
              <w:left w:val="single" w:sz="4" w:space="0" w:color="auto"/>
              <w:bottom w:val="single" w:sz="4" w:space="0" w:color="auto"/>
              <w:right w:val="single" w:sz="4" w:space="0" w:color="auto"/>
            </w:tcBorders>
            <w:vAlign w:val="center"/>
            <w:hideMark/>
          </w:tcPr>
          <w:p w14:paraId="24864CB6" w14:textId="77777777" w:rsidR="00353EA8" w:rsidRPr="00B643C8" w:rsidRDefault="00353EA8" w:rsidP="00B643C8">
            <w:pPr>
              <w:spacing w:line="200" w:lineRule="exact"/>
              <w:rPr>
                <w:rFonts w:eastAsia="仿宋"/>
                <w:b/>
                <w:color w:val="000000"/>
                <w:sz w:val="18"/>
                <w:szCs w:val="18"/>
              </w:rPr>
            </w:pPr>
          </w:p>
        </w:tc>
        <w:tc>
          <w:tcPr>
            <w:tcW w:w="1906" w:type="dxa"/>
            <w:vMerge/>
            <w:tcBorders>
              <w:left w:val="single" w:sz="4" w:space="0" w:color="auto"/>
              <w:right w:val="single" w:sz="4" w:space="0" w:color="auto"/>
            </w:tcBorders>
            <w:shd w:val="clear" w:color="auto" w:fill="auto"/>
            <w:vAlign w:val="center"/>
            <w:hideMark/>
          </w:tcPr>
          <w:p w14:paraId="4F39A088" w14:textId="5DBC2DE6" w:rsidR="00353EA8" w:rsidRPr="00B643C8" w:rsidRDefault="00353EA8" w:rsidP="00B643C8">
            <w:pPr>
              <w:spacing w:line="200" w:lineRule="exact"/>
              <w:rPr>
                <w:rFonts w:eastAsia="仿宋"/>
                <w:color w:val="000000"/>
                <w:sz w:val="18"/>
                <w:szCs w:val="18"/>
              </w:rPr>
            </w:pPr>
          </w:p>
        </w:tc>
        <w:tc>
          <w:tcPr>
            <w:tcW w:w="3103" w:type="dxa"/>
            <w:tcBorders>
              <w:top w:val="nil"/>
              <w:left w:val="nil"/>
              <w:bottom w:val="single" w:sz="4" w:space="0" w:color="auto"/>
              <w:right w:val="single" w:sz="4" w:space="0" w:color="auto"/>
            </w:tcBorders>
            <w:shd w:val="clear" w:color="auto" w:fill="auto"/>
            <w:vAlign w:val="center"/>
            <w:hideMark/>
          </w:tcPr>
          <w:p w14:paraId="70D06702" w14:textId="146E9D88" w:rsidR="00353EA8" w:rsidRPr="00353EA8" w:rsidRDefault="00353EA8" w:rsidP="00353EA8">
            <w:pPr>
              <w:spacing w:line="200" w:lineRule="exact"/>
              <w:rPr>
                <w:rFonts w:eastAsia="仿宋"/>
                <w:color w:val="000000"/>
                <w:sz w:val="18"/>
                <w:szCs w:val="18"/>
              </w:rPr>
            </w:pPr>
            <w:r w:rsidRPr="00353EA8">
              <w:rPr>
                <w:rFonts w:eastAsia="仿宋"/>
                <w:color w:val="000000"/>
                <w:sz w:val="18"/>
                <w:szCs w:val="18"/>
              </w:rPr>
              <w:t>BHR New XXX Investment Management Limited</w:t>
            </w:r>
          </w:p>
        </w:tc>
        <w:tc>
          <w:tcPr>
            <w:tcW w:w="2974" w:type="dxa"/>
            <w:tcBorders>
              <w:top w:val="nil"/>
              <w:left w:val="nil"/>
              <w:bottom w:val="single" w:sz="4" w:space="0" w:color="auto"/>
              <w:right w:val="single" w:sz="4" w:space="0" w:color="auto"/>
            </w:tcBorders>
            <w:shd w:val="clear" w:color="auto" w:fill="auto"/>
            <w:vAlign w:val="center"/>
            <w:hideMark/>
          </w:tcPr>
          <w:p w14:paraId="060C9D42" w14:textId="2398EBEB" w:rsidR="00353EA8" w:rsidRPr="00B643C8" w:rsidRDefault="00353EA8" w:rsidP="00113311">
            <w:pPr>
              <w:spacing w:line="200" w:lineRule="exact"/>
              <w:rPr>
                <w:rFonts w:eastAsia="仿宋"/>
                <w:color w:val="000000"/>
                <w:sz w:val="18"/>
                <w:szCs w:val="18"/>
              </w:rPr>
            </w:pPr>
            <w:r w:rsidRPr="00B643C8">
              <w:rPr>
                <w:rFonts w:eastAsia="仿宋"/>
                <w:color w:val="000000"/>
                <w:sz w:val="18"/>
                <w:szCs w:val="18"/>
              </w:rPr>
              <w:t>Shareholder:</w:t>
            </w:r>
            <w:r>
              <w:rPr>
                <w:rFonts w:eastAsia="仿宋"/>
                <w:color w:val="000000"/>
                <w:sz w:val="18"/>
                <w:szCs w:val="18"/>
              </w:rPr>
              <w:t xml:space="preserve"> </w:t>
            </w:r>
            <w:r w:rsidRPr="00B643C8">
              <w:rPr>
                <w:rFonts w:eastAsia="仿宋"/>
                <w:color w:val="000000"/>
                <w:sz w:val="18"/>
                <w:szCs w:val="18"/>
              </w:rPr>
              <w:t>Jonathan Li</w:t>
            </w:r>
            <w:r>
              <w:rPr>
                <w:rFonts w:eastAsia="仿宋"/>
                <w:color w:val="000000"/>
                <w:sz w:val="18"/>
                <w:szCs w:val="18"/>
              </w:rPr>
              <w:t xml:space="preserve"> </w:t>
            </w:r>
            <w:r w:rsidRPr="00B643C8">
              <w:rPr>
                <w:rFonts w:eastAsia="仿宋"/>
                <w:color w:val="000000"/>
                <w:sz w:val="18"/>
                <w:szCs w:val="18"/>
              </w:rPr>
              <w:t>/</w:t>
            </w:r>
            <w:r>
              <w:rPr>
                <w:rFonts w:eastAsia="仿宋"/>
                <w:color w:val="000000"/>
                <w:sz w:val="18"/>
                <w:szCs w:val="18"/>
              </w:rPr>
              <w:t xml:space="preserve"> </w:t>
            </w:r>
            <w:r w:rsidRPr="00B643C8">
              <w:rPr>
                <w:rFonts w:eastAsia="仿宋"/>
                <w:color w:val="000000"/>
                <w:sz w:val="18"/>
                <w:szCs w:val="18"/>
              </w:rPr>
              <w:t>Onshore Deal Fund</w:t>
            </w:r>
          </w:p>
        </w:tc>
        <w:tc>
          <w:tcPr>
            <w:tcW w:w="1417" w:type="dxa"/>
            <w:tcBorders>
              <w:top w:val="nil"/>
              <w:left w:val="nil"/>
              <w:bottom w:val="single" w:sz="4" w:space="0" w:color="auto"/>
              <w:right w:val="single" w:sz="4" w:space="0" w:color="auto"/>
            </w:tcBorders>
            <w:shd w:val="clear" w:color="auto" w:fill="auto"/>
            <w:vAlign w:val="center"/>
            <w:hideMark/>
          </w:tcPr>
          <w:p w14:paraId="2CF9A540" w14:textId="77777777" w:rsidR="00353EA8" w:rsidRPr="00B643C8" w:rsidRDefault="00353EA8" w:rsidP="00B643C8">
            <w:pPr>
              <w:spacing w:line="200" w:lineRule="exact"/>
              <w:rPr>
                <w:rFonts w:eastAsia="仿宋"/>
                <w:color w:val="000000"/>
                <w:sz w:val="18"/>
                <w:szCs w:val="18"/>
              </w:rPr>
            </w:pPr>
            <w:r w:rsidRPr="00B643C8">
              <w:rPr>
                <w:rFonts w:eastAsia="仿宋"/>
                <w:color w:val="000000"/>
                <w:sz w:val="18"/>
                <w:szCs w:val="18"/>
              </w:rPr>
              <w:t>Hong Kong</w:t>
            </w:r>
          </w:p>
        </w:tc>
        <w:tc>
          <w:tcPr>
            <w:tcW w:w="957" w:type="dxa"/>
            <w:tcBorders>
              <w:top w:val="nil"/>
              <w:left w:val="nil"/>
              <w:bottom w:val="single" w:sz="4" w:space="0" w:color="auto"/>
              <w:right w:val="single" w:sz="4" w:space="0" w:color="auto"/>
            </w:tcBorders>
            <w:shd w:val="clear" w:color="auto" w:fill="auto"/>
            <w:vAlign w:val="center"/>
            <w:hideMark/>
          </w:tcPr>
          <w:p w14:paraId="00454B8A" w14:textId="729E1A0F" w:rsidR="00353EA8" w:rsidRPr="00B643C8" w:rsidRDefault="00353EA8" w:rsidP="00B643C8">
            <w:pPr>
              <w:spacing w:line="200" w:lineRule="exact"/>
              <w:jc w:val="center"/>
              <w:rPr>
                <w:rFonts w:eastAsia="仿宋"/>
                <w:color w:val="000000"/>
                <w:sz w:val="18"/>
                <w:szCs w:val="18"/>
              </w:rPr>
            </w:pPr>
            <w:r>
              <w:rPr>
                <w:rFonts w:eastAsia="仿宋"/>
                <w:color w:val="000000"/>
                <w:sz w:val="18"/>
                <w:szCs w:val="18"/>
              </w:rPr>
              <w:t>6</w:t>
            </w:r>
          </w:p>
        </w:tc>
        <w:tc>
          <w:tcPr>
            <w:tcW w:w="2445" w:type="dxa"/>
            <w:vMerge/>
            <w:tcBorders>
              <w:left w:val="single" w:sz="4" w:space="0" w:color="auto"/>
              <w:right w:val="single" w:sz="4" w:space="0" w:color="auto"/>
            </w:tcBorders>
            <w:shd w:val="clear" w:color="auto" w:fill="auto"/>
            <w:vAlign w:val="center"/>
            <w:hideMark/>
          </w:tcPr>
          <w:p w14:paraId="7D6FA4F3" w14:textId="2FAD68E2" w:rsidR="00353EA8" w:rsidRPr="00B643C8" w:rsidRDefault="00353EA8" w:rsidP="00113311">
            <w:pPr>
              <w:spacing w:line="200" w:lineRule="exact"/>
              <w:rPr>
                <w:rFonts w:eastAsia="仿宋"/>
                <w:color w:val="000000"/>
                <w:sz w:val="18"/>
                <w:szCs w:val="18"/>
              </w:rPr>
            </w:pPr>
          </w:p>
        </w:tc>
      </w:tr>
      <w:tr w:rsidR="00353EA8" w:rsidRPr="00B643C8" w14:paraId="3EDF3D07" w14:textId="77777777" w:rsidTr="005F5823">
        <w:trPr>
          <w:trHeight w:val="545"/>
        </w:trPr>
        <w:tc>
          <w:tcPr>
            <w:tcW w:w="948" w:type="dxa"/>
            <w:vMerge/>
            <w:tcBorders>
              <w:top w:val="nil"/>
              <w:left w:val="single" w:sz="4" w:space="0" w:color="auto"/>
              <w:bottom w:val="single" w:sz="4" w:space="0" w:color="auto"/>
              <w:right w:val="single" w:sz="4" w:space="0" w:color="auto"/>
            </w:tcBorders>
            <w:vAlign w:val="center"/>
            <w:hideMark/>
          </w:tcPr>
          <w:p w14:paraId="1864DF68" w14:textId="77777777" w:rsidR="00353EA8" w:rsidRPr="00B643C8" w:rsidRDefault="00353EA8" w:rsidP="00B643C8">
            <w:pPr>
              <w:spacing w:line="200" w:lineRule="exact"/>
              <w:rPr>
                <w:rFonts w:eastAsia="仿宋"/>
                <w:b/>
                <w:color w:val="000000"/>
                <w:sz w:val="18"/>
                <w:szCs w:val="18"/>
              </w:rPr>
            </w:pPr>
          </w:p>
        </w:tc>
        <w:tc>
          <w:tcPr>
            <w:tcW w:w="1906" w:type="dxa"/>
            <w:vMerge/>
            <w:tcBorders>
              <w:left w:val="single" w:sz="4" w:space="0" w:color="auto"/>
              <w:bottom w:val="single" w:sz="4" w:space="0" w:color="auto"/>
              <w:right w:val="single" w:sz="4" w:space="0" w:color="auto"/>
            </w:tcBorders>
            <w:vAlign w:val="center"/>
            <w:hideMark/>
          </w:tcPr>
          <w:p w14:paraId="70DB5193" w14:textId="77777777" w:rsidR="00353EA8" w:rsidRPr="00B643C8" w:rsidRDefault="00353EA8" w:rsidP="00B643C8">
            <w:pPr>
              <w:spacing w:line="200" w:lineRule="exact"/>
              <w:rPr>
                <w:rFonts w:eastAsia="仿宋"/>
                <w:color w:val="000000"/>
                <w:sz w:val="18"/>
                <w:szCs w:val="18"/>
              </w:rPr>
            </w:pPr>
          </w:p>
        </w:tc>
        <w:tc>
          <w:tcPr>
            <w:tcW w:w="3103" w:type="dxa"/>
            <w:tcBorders>
              <w:top w:val="nil"/>
              <w:left w:val="nil"/>
              <w:bottom w:val="single" w:sz="4" w:space="0" w:color="auto"/>
              <w:right w:val="single" w:sz="4" w:space="0" w:color="auto"/>
            </w:tcBorders>
            <w:shd w:val="clear" w:color="auto" w:fill="auto"/>
            <w:vAlign w:val="center"/>
            <w:hideMark/>
          </w:tcPr>
          <w:p w14:paraId="28D56878" w14:textId="24F81F3D" w:rsidR="00353EA8" w:rsidRPr="00B643C8" w:rsidRDefault="00326762" w:rsidP="00B643C8">
            <w:pPr>
              <w:spacing w:line="200" w:lineRule="exact"/>
              <w:rPr>
                <w:rFonts w:eastAsia="仿宋"/>
                <w:color w:val="000000"/>
                <w:sz w:val="18"/>
                <w:szCs w:val="18"/>
              </w:rPr>
            </w:pPr>
            <w:r w:rsidRPr="00326762">
              <w:rPr>
                <w:rFonts w:eastAsia="仿宋"/>
                <w:color w:val="000000"/>
                <w:sz w:val="18"/>
                <w:szCs w:val="18"/>
              </w:rPr>
              <w:t>United NSW Energy Limited</w:t>
            </w:r>
          </w:p>
        </w:tc>
        <w:tc>
          <w:tcPr>
            <w:tcW w:w="2974" w:type="dxa"/>
            <w:tcBorders>
              <w:top w:val="nil"/>
              <w:left w:val="nil"/>
              <w:bottom w:val="single" w:sz="4" w:space="0" w:color="auto"/>
              <w:right w:val="single" w:sz="4" w:space="0" w:color="auto"/>
            </w:tcBorders>
            <w:shd w:val="clear" w:color="auto" w:fill="auto"/>
            <w:vAlign w:val="center"/>
            <w:hideMark/>
          </w:tcPr>
          <w:p w14:paraId="1E158502" w14:textId="365A9F5F" w:rsidR="00353EA8" w:rsidRPr="00B643C8" w:rsidRDefault="00353EA8" w:rsidP="00B643C8">
            <w:pPr>
              <w:spacing w:line="200" w:lineRule="exact"/>
              <w:rPr>
                <w:rFonts w:eastAsia="仿宋"/>
                <w:color w:val="000000"/>
                <w:sz w:val="18"/>
                <w:szCs w:val="18"/>
              </w:rPr>
            </w:pPr>
            <w:r w:rsidRPr="00B643C8">
              <w:rPr>
                <w:rFonts w:eastAsia="仿宋"/>
                <w:color w:val="000000"/>
                <w:sz w:val="18"/>
                <w:szCs w:val="18"/>
              </w:rPr>
              <w:t xml:space="preserve">Shareholder: </w:t>
            </w:r>
            <w:r w:rsidR="00326762" w:rsidRPr="00326762">
              <w:rPr>
                <w:rFonts w:eastAsia="仿宋"/>
                <w:color w:val="000000"/>
                <w:sz w:val="18"/>
                <w:szCs w:val="18"/>
              </w:rPr>
              <w:t>BHR (Cayman) Management Limited</w:t>
            </w:r>
          </w:p>
        </w:tc>
        <w:tc>
          <w:tcPr>
            <w:tcW w:w="1417" w:type="dxa"/>
            <w:tcBorders>
              <w:top w:val="nil"/>
              <w:left w:val="nil"/>
              <w:bottom w:val="single" w:sz="4" w:space="0" w:color="auto"/>
              <w:right w:val="single" w:sz="4" w:space="0" w:color="auto"/>
            </w:tcBorders>
            <w:shd w:val="clear" w:color="auto" w:fill="auto"/>
            <w:vAlign w:val="center"/>
            <w:hideMark/>
          </w:tcPr>
          <w:p w14:paraId="3A9C6728" w14:textId="77777777" w:rsidR="00353EA8" w:rsidRPr="00B643C8" w:rsidRDefault="00353EA8" w:rsidP="00B643C8">
            <w:pPr>
              <w:spacing w:line="200" w:lineRule="exact"/>
              <w:rPr>
                <w:rFonts w:eastAsia="仿宋"/>
                <w:color w:val="000000"/>
                <w:sz w:val="18"/>
                <w:szCs w:val="18"/>
              </w:rPr>
            </w:pPr>
            <w:r w:rsidRPr="00B643C8">
              <w:rPr>
                <w:rFonts w:eastAsia="仿宋"/>
                <w:color w:val="000000"/>
                <w:sz w:val="18"/>
                <w:szCs w:val="18"/>
              </w:rPr>
              <w:t>BVI</w:t>
            </w:r>
          </w:p>
        </w:tc>
        <w:tc>
          <w:tcPr>
            <w:tcW w:w="957" w:type="dxa"/>
            <w:tcBorders>
              <w:top w:val="nil"/>
              <w:left w:val="nil"/>
              <w:bottom w:val="single" w:sz="4" w:space="0" w:color="auto"/>
              <w:right w:val="single" w:sz="4" w:space="0" w:color="auto"/>
            </w:tcBorders>
            <w:shd w:val="clear" w:color="auto" w:fill="auto"/>
            <w:vAlign w:val="center"/>
            <w:hideMark/>
          </w:tcPr>
          <w:p w14:paraId="1D2E43AC" w14:textId="4DA0C4F8" w:rsidR="00353EA8" w:rsidRPr="00B643C8" w:rsidRDefault="00353EA8" w:rsidP="00B643C8">
            <w:pPr>
              <w:spacing w:line="200" w:lineRule="exact"/>
              <w:jc w:val="center"/>
              <w:rPr>
                <w:rFonts w:eastAsia="仿宋"/>
                <w:color w:val="000000"/>
                <w:sz w:val="18"/>
                <w:szCs w:val="18"/>
              </w:rPr>
            </w:pPr>
            <w:r>
              <w:rPr>
                <w:rFonts w:eastAsia="仿宋"/>
                <w:color w:val="000000"/>
                <w:sz w:val="18"/>
                <w:szCs w:val="18"/>
              </w:rPr>
              <w:t>1</w:t>
            </w:r>
          </w:p>
        </w:tc>
        <w:tc>
          <w:tcPr>
            <w:tcW w:w="2445" w:type="dxa"/>
            <w:vMerge/>
            <w:tcBorders>
              <w:left w:val="single" w:sz="4" w:space="0" w:color="auto"/>
              <w:bottom w:val="single" w:sz="4" w:space="0" w:color="auto"/>
              <w:right w:val="single" w:sz="4" w:space="0" w:color="auto"/>
            </w:tcBorders>
            <w:vAlign w:val="center"/>
            <w:hideMark/>
          </w:tcPr>
          <w:p w14:paraId="12E6E4AB" w14:textId="77777777" w:rsidR="00353EA8" w:rsidRPr="00B643C8" w:rsidRDefault="00353EA8" w:rsidP="00B643C8">
            <w:pPr>
              <w:spacing w:line="200" w:lineRule="exact"/>
              <w:rPr>
                <w:rFonts w:eastAsia="仿宋"/>
                <w:color w:val="000000"/>
                <w:sz w:val="18"/>
                <w:szCs w:val="18"/>
              </w:rPr>
            </w:pPr>
          </w:p>
        </w:tc>
      </w:tr>
      <w:tr w:rsidR="00E93C81" w:rsidRPr="00B643C8" w14:paraId="25F63359" w14:textId="77777777" w:rsidTr="005F5823">
        <w:trPr>
          <w:trHeight w:val="697"/>
        </w:trPr>
        <w:tc>
          <w:tcPr>
            <w:tcW w:w="948" w:type="dxa"/>
            <w:vMerge/>
            <w:tcBorders>
              <w:top w:val="nil"/>
              <w:left w:val="single" w:sz="4" w:space="0" w:color="auto"/>
              <w:bottom w:val="single" w:sz="4" w:space="0" w:color="auto"/>
              <w:right w:val="single" w:sz="4" w:space="0" w:color="auto"/>
            </w:tcBorders>
            <w:vAlign w:val="center"/>
            <w:hideMark/>
          </w:tcPr>
          <w:p w14:paraId="15350545" w14:textId="77777777" w:rsidR="00B643C8" w:rsidRPr="00B643C8" w:rsidRDefault="00B643C8" w:rsidP="00B643C8">
            <w:pPr>
              <w:spacing w:line="200" w:lineRule="exact"/>
              <w:rPr>
                <w:rFonts w:eastAsia="仿宋"/>
                <w:b/>
                <w:color w:val="000000"/>
                <w:sz w:val="18"/>
                <w:szCs w:val="18"/>
              </w:rPr>
            </w:pPr>
          </w:p>
        </w:tc>
        <w:tc>
          <w:tcPr>
            <w:tcW w:w="1906" w:type="dxa"/>
            <w:tcBorders>
              <w:top w:val="nil"/>
              <w:left w:val="nil"/>
              <w:bottom w:val="single" w:sz="4" w:space="0" w:color="auto"/>
              <w:right w:val="single" w:sz="4" w:space="0" w:color="auto"/>
            </w:tcBorders>
            <w:shd w:val="clear" w:color="auto" w:fill="auto"/>
            <w:vAlign w:val="center"/>
            <w:hideMark/>
          </w:tcPr>
          <w:p w14:paraId="2E17E5BC" w14:textId="2BB1468C" w:rsidR="00B643C8" w:rsidRPr="00B643C8" w:rsidRDefault="00326762" w:rsidP="00B643C8">
            <w:pPr>
              <w:spacing w:line="200" w:lineRule="exact"/>
              <w:rPr>
                <w:rFonts w:eastAsia="仿宋"/>
                <w:color w:val="000000"/>
                <w:sz w:val="18"/>
                <w:szCs w:val="18"/>
              </w:rPr>
            </w:pPr>
            <w:r>
              <w:rPr>
                <w:rFonts w:eastAsia="仿宋"/>
                <w:color w:val="000000"/>
                <w:sz w:val="18"/>
                <w:szCs w:val="18"/>
              </w:rPr>
              <w:t>Shell Funds</w:t>
            </w:r>
          </w:p>
        </w:tc>
        <w:tc>
          <w:tcPr>
            <w:tcW w:w="3103" w:type="dxa"/>
            <w:tcBorders>
              <w:top w:val="nil"/>
              <w:left w:val="nil"/>
              <w:bottom w:val="single" w:sz="4" w:space="0" w:color="auto"/>
              <w:right w:val="single" w:sz="4" w:space="0" w:color="auto"/>
            </w:tcBorders>
            <w:shd w:val="clear" w:color="auto" w:fill="auto"/>
            <w:vAlign w:val="center"/>
            <w:hideMark/>
          </w:tcPr>
          <w:p w14:paraId="65D52394" w14:textId="757422CE" w:rsidR="00B643C8" w:rsidRPr="00B643C8" w:rsidRDefault="00326762" w:rsidP="00B643C8">
            <w:pPr>
              <w:spacing w:line="200" w:lineRule="exact"/>
              <w:rPr>
                <w:rFonts w:eastAsia="仿宋"/>
                <w:color w:val="000000"/>
                <w:sz w:val="18"/>
                <w:szCs w:val="18"/>
              </w:rPr>
            </w:pPr>
            <w:r w:rsidRPr="00326762">
              <w:rPr>
                <w:rFonts w:eastAsia="仿宋"/>
                <w:color w:val="000000"/>
                <w:sz w:val="18"/>
                <w:szCs w:val="18"/>
              </w:rPr>
              <w:t>BHR Investment Fund ##, L.P.</w:t>
            </w:r>
          </w:p>
        </w:tc>
        <w:tc>
          <w:tcPr>
            <w:tcW w:w="2974" w:type="dxa"/>
            <w:tcBorders>
              <w:top w:val="nil"/>
              <w:left w:val="nil"/>
              <w:bottom w:val="single" w:sz="4" w:space="0" w:color="auto"/>
              <w:right w:val="single" w:sz="4" w:space="0" w:color="auto"/>
            </w:tcBorders>
            <w:shd w:val="clear" w:color="auto" w:fill="auto"/>
            <w:vAlign w:val="center"/>
            <w:hideMark/>
          </w:tcPr>
          <w:p w14:paraId="3CC2CD24" w14:textId="03682EC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GP</w:t>
            </w:r>
            <w:r w:rsidRPr="00B643C8">
              <w:rPr>
                <w:rFonts w:eastAsia="仿宋"/>
                <w:color w:val="000000"/>
                <w:sz w:val="18"/>
                <w:szCs w:val="18"/>
              </w:rPr>
              <w:t>：</w:t>
            </w:r>
            <w:r w:rsidRPr="00B643C8">
              <w:rPr>
                <w:rFonts w:eastAsia="仿宋"/>
                <w:color w:val="000000"/>
                <w:sz w:val="18"/>
                <w:szCs w:val="18"/>
              </w:rPr>
              <w:t>BHR (Cayman) GP I, Limited</w:t>
            </w:r>
          </w:p>
          <w:p w14:paraId="1844B8E5" w14:textId="4ED7382C" w:rsidR="00B643C8" w:rsidRDefault="00B643C8" w:rsidP="006A7FD4">
            <w:pPr>
              <w:spacing w:line="200" w:lineRule="exact"/>
              <w:ind w:firstLine="360"/>
              <w:rPr>
                <w:rFonts w:eastAsia="仿宋"/>
                <w:color w:val="000000"/>
                <w:sz w:val="18"/>
                <w:szCs w:val="18"/>
              </w:rPr>
            </w:pPr>
            <w:r w:rsidRPr="00B643C8">
              <w:rPr>
                <w:rFonts w:eastAsia="仿宋"/>
                <w:color w:val="000000"/>
                <w:sz w:val="18"/>
                <w:szCs w:val="18"/>
              </w:rPr>
              <w:t>BHR (Cayman) GP II, Limited</w:t>
            </w:r>
          </w:p>
          <w:p w14:paraId="16480757" w14:textId="384F0B64" w:rsidR="00326762" w:rsidRPr="00B643C8" w:rsidRDefault="00326762" w:rsidP="006A7FD4">
            <w:pPr>
              <w:spacing w:line="200" w:lineRule="exact"/>
              <w:ind w:firstLine="360"/>
              <w:rPr>
                <w:rFonts w:eastAsia="仿宋"/>
                <w:color w:val="000000"/>
                <w:sz w:val="18"/>
                <w:szCs w:val="18"/>
              </w:rPr>
            </w:pPr>
            <w:r w:rsidRPr="00B643C8">
              <w:rPr>
                <w:rFonts w:eastAsia="仿宋"/>
                <w:color w:val="000000"/>
                <w:sz w:val="18"/>
                <w:szCs w:val="18"/>
              </w:rPr>
              <w:t>BHR (Cayman) GP II</w:t>
            </w:r>
            <w:r>
              <w:rPr>
                <w:rFonts w:eastAsia="仿宋"/>
                <w:color w:val="000000"/>
                <w:sz w:val="18"/>
                <w:szCs w:val="18"/>
              </w:rPr>
              <w:t>I</w:t>
            </w:r>
            <w:r w:rsidRPr="00B643C8">
              <w:rPr>
                <w:rFonts w:eastAsia="仿宋"/>
                <w:color w:val="000000"/>
                <w:sz w:val="18"/>
                <w:szCs w:val="18"/>
              </w:rPr>
              <w:t>, Limited</w:t>
            </w:r>
          </w:p>
          <w:p w14:paraId="1F75E25D" w14:textId="77777777" w:rsidR="00B643C8" w:rsidRPr="00B643C8" w:rsidRDefault="00B643C8" w:rsidP="00B643C8">
            <w:pPr>
              <w:spacing w:line="200" w:lineRule="exact"/>
              <w:rPr>
                <w:rFonts w:eastAsia="仿宋"/>
                <w:color w:val="000000"/>
                <w:sz w:val="18"/>
                <w:szCs w:val="18"/>
              </w:rPr>
            </w:pPr>
            <w:r w:rsidRPr="00B643C8">
              <w:rPr>
                <w:rFonts w:eastAsia="仿宋"/>
                <w:color w:val="000000"/>
                <w:sz w:val="18"/>
                <w:szCs w:val="18"/>
              </w:rPr>
              <w:t>LP</w:t>
            </w:r>
            <w:r w:rsidRPr="00B643C8">
              <w:rPr>
                <w:rFonts w:eastAsia="仿宋"/>
                <w:color w:val="000000"/>
                <w:sz w:val="18"/>
                <w:szCs w:val="18"/>
              </w:rPr>
              <w:t>：</w:t>
            </w:r>
            <w:r w:rsidRPr="00B643C8">
              <w:rPr>
                <w:rFonts w:eastAsia="仿宋"/>
                <w:color w:val="000000"/>
                <w:sz w:val="18"/>
                <w:szCs w:val="18"/>
              </w:rPr>
              <w:t>BHR New Energy Limited</w:t>
            </w:r>
          </w:p>
        </w:tc>
        <w:tc>
          <w:tcPr>
            <w:tcW w:w="1417" w:type="dxa"/>
            <w:tcBorders>
              <w:top w:val="nil"/>
              <w:left w:val="nil"/>
              <w:bottom w:val="single" w:sz="4" w:space="0" w:color="auto"/>
              <w:right w:val="single" w:sz="4" w:space="0" w:color="auto"/>
            </w:tcBorders>
            <w:shd w:val="clear" w:color="auto" w:fill="auto"/>
            <w:vAlign w:val="center"/>
            <w:hideMark/>
          </w:tcPr>
          <w:p w14:paraId="0879D3F8" w14:textId="77777777" w:rsidR="00B643C8" w:rsidRPr="00B643C8" w:rsidRDefault="00B643C8" w:rsidP="00B643C8">
            <w:pPr>
              <w:spacing w:line="200" w:lineRule="exact"/>
              <w:rPr>
                <w:rFonts w:eastAsia="仿宋"/>
                <w:sz w:val="18"/>
                <w:szCs w:val="18"/>
              </w:rPr>
            </w:pPr>
            <w:r w:rsidRPr="00B643C8">
              <w:rPr>
                <w:rFonts w:eastAsia="仿宋"/>
                <w:sz w:val="18"/>
                <w:szCs w:val="18"/>
              </w:rPr>
              <w:t>Cayman Islands</w:t>
            </w:r>
          </w:p>
        </w:tc>
        <w:tc>
          <w:tcPr>
            <w:tcW w:w="957" w:type="dxa"/>
            <w:tcBorders>
              <w:top w:val="nil"/>
              <w:left w:val="nil"/>
              <w:bottom w:val="single" w:sz="4" w:space="0" w:color="auto"/>
              <w:right w:val="single" w:sz="4" w:space="0" w:color="auto"/>
            </w:tcBorders>
            <w:shd w:val="clear" w:color="auto" w:fill="auto"/>
            <w:vAlign w:val="center"/>
            <w:hideMark/>
          </w:tcPr>
          <w:p w14:paraId="44C57DD3" w14:textId="77777777" w:rsidR="00B643C8" w:rsidRPr="00B643C8" w:rsidRDefault="00B643C8" w:rsidP="00B643C8">
            <w:pPr>
              <w:spacing w:line="200" w:lineRule="exact"/>
              <w:jc w:val="center"/>
              <w:rPr>
                <w:rFonts w:eastAsia="仿宋"/>
                <w:color w:val="000000"/>
                <w:sz w:val="18"/>
                <w:szCs w:val="18"/>
              </w:rPr>
            </w:pPr>
            <w:r w:rsidRPr="00B643C8">
              <w:rPr>
                <w:rFonts w:eastAsia="仿宋"/>
                <w:color w:val="000000"/>
                <w:sz w:val="18"/>
                <w:szCs w:val="18"/>
              </w:rPr>
              <w:t>10</w:t>
            </w:r>
          </w:p>
        </w:tc>
        <w:tc>
          <w:tcPr>
            <w:tcW w:w="2445" w:type="dxa"/>
            <w:tcBorders>
              <w:top w:val="nil"/>
              <w:left w:val="nil"/>
              <w:bottom w:val="single" w:sz="4" w:space="0" w:color="auto"/>
              <w:right w:val="single" w:sz="4" w:space="0" w:color="auto"/>
            </w:tcBorders>
            <w:shd w:val="clear" w:color="auto" w:fill="auto"/>
            <w:vAlign w:val="center"/>
          </w:tcPr>
          <w:p w14:paraId="6778F259" w14:textId="77777777" w:rsidR="00B643C8" w:rsidRPr="00B643C8" w:rsidRDefault="00B643C8" w:rsidP="00B643C8">
            <w:pPr>
              <w:spacing w:line="200" w:lineRule="exact"/>
              <w:rPr>
                <w:rFonts w:eastAsia="仿宋"/>
                <w:color w:val="000000"/>
                <w:sz w:val="18"/>
                <w:szCs w:val="18"/>
              </w:rPr>
            </w:pPr>
          </w:p>
        </w:tc>
      </w:tr>
      <w:tr w:rsidR="00326762" w:rsidRPr="00B643C8" w14:paraId="78B6F56A" w14:textId="77777777" w:rsidTr="005F5823">
        <w:trPr>
          <w:trHeight w:val="697"/>
        </w:trPr>
        <w:tc>
          <w:tcPr>
            <w:tcW w:w="948" w:type="dxa"/>
            <w:vMerge/>
            <w:tcBorders>
              <w:top w:val="nil"/>
              <w:left w:val="single" w:sz="4" w:space="0" w:color="auto"/>
              <w:bottom w:val="single" w:sz="4" w:space="0" w:color="auto"/>
              <w:right w:val="single" w:sz="4" w:space="0" w:color="auto"/>
            </w:tcBorders>
            <w:vAlign w:val="center"/>
          </w:tcPr>
          <w:p w14:paraId="1EDB9F73" w14:textId="77777777" w:rsidR="00326762" w:rsidRPr="00B643C8" w:rsidRDefault="00326762" w:rsidP="00B643C8">
            <w:pPr>
              <w:spacing w:line="200" w:lineRule="exact"/>
              <w:rPr>
                <w:rFonts w:eastAsia="仿宋"/>
                <w:b/>
                <w:color w:val="000000"/>
                <w:sz w:val="18"/>
                <w:szCs w:val="18"/>
              </w:rPr>
            </w:pPr>
          </w:p>
        </w:tc>
        <w:tc>
          <w:tcPr>
            <w:tcW w:w="1906" w:type="dxa"/>
            <w:tcBorders>
              <w:top w:val="nil"/>
              <w:left w:val="nil"/>
              <w:bottom w:val="single" w:sz="4" w:space="0" w:color="auto"/>
              <w:right w:val="single" w:sz="4" w:space="0" w:color="auto"/>
            </w:tcBorders>
            <w:shd w:val="clear" w:color="auto" w:fill="auto"/>
            <w:vAlign w:val="center"/>
          </w:tcPr>
          <w:p w14:paraId="6A80CBE0" w14:textId="1E95E084" w:rsidR="00326762" w:rsidRDefault="00326762" w:rsidP="00B643C8">
            <w:pPr>
              <w:spacing w:line="200" w:lineRule="exact"/>
              <w:rPr>
                <w:rFonts w:eastAsia="仿宋"/>
                <w:color w:val="000000"/>
                <w:sz w:val="18"/>
                <w:szCs w:val="18"/>
              </w:rPr>
            </w:pPr>
            <w:r w:rsidRPr="00B643C8">
              <w:rPr>
                <w:rFonts w:eastAsia="仿宋"/>
                <w:color w:val="000000"/>
                <w:sz w:val="18"/>
                <w:szCs w:val="18"/>
              </w:rPr>
              <w:t>Carried Interest Entit</w:t>
            </w:r>
            <w:r>
              <w:rPr>
                <w:rFonts w:eastAsia="仿宋"/>
                <w:color w:val="000000"/>
                <w:sz w:val="18"/>
                <w:szCs w:val="18"/>
              </w:rPr>
              <w:t>ies</w:t>
            </w:r>
          </w:p>
        </w:tc>
        <w:tc>
          <w:tcPr>
            <w:tcW w:w="3103" w:type="dxa"/>
            <w:tcBorders>
              <w:top w:val="nil"/>
              <w:left w:val="nil"/>
              <w:bottom w:val="single" w:sz="4" w:space="0" w:color="auto"/>
              <w:right w:val="single" w:sz="4" w:space="0" w:color="auto"/>
            </w:tcBorders>
            <w:shd w:val="clear" w:color="auto" w:fill="auto"/>
            <w:vAlign w:val="center"/>
          </w:tcPr>
          <w:p w14:paraId="6A1A4D0E" w14:textId="16001FD0" w:rsidR="00326762" w:rsidRPr="00326762" w:rsidRDefault="00326762" w:rsidP="00B643C8">
            <w:pPr>
              <w:spacing w:line="200" w:lineRule="exact"/>
              <w:rPr>
                <w:rFonts w:eastAsia="仿宋"/>
                <w:color w:val="000000"/>
                <w:sz w:val="18"/>
                <w:szCs w:val="18"/>
              </w:rPr>
            </w:pPr>
            <w:r w:rsidRPr="00326762">
              <w:rPr>
                <w:rFonts w:eastAsia="仿宋"/>
                <w:color w:val="000000"/>
                <w:sz w:val="18"/>
                <w:szCs w:val="18"/>
              </w:rPr>
              <w:t>BHR New XXX Investment Management Limited</w:t>
            </w:r>
          </w:p>
        </w:tc>
        <w:tc>
          <w:tcPr>
            <w:tcW w:w="2974" w:type="dxa"/>
            <w:tcBorders>
              <w:top w:val="nil"/>
              <w:left w:val="nil"/>
              <w:bottom w:val="single" w:sz="4" w:space="0" w:color="auto"/>
              <w:right w:val="single" w:sz="4" w:space="0" w:color="auto"/>
            </w:tcBorders>
            <w:shd w:val="clear" w:color="auto" w:fill="auto"/>
            <w:vAlign w:val="center"/>
          </w:tcPr>
          <w:p w14:paraId="0E0AF585" w14:textId="781C3FD9" w:rsidR="00326762" w:rsidRPr="00B643C8" w:rsidRDefault="00326762" w:rsidP="00B643C8">
            <w:pPr>
              <w:spacing w:line="200" w:lineRule="exact"/>
              <w:rPr>
                <w:rFonts w:eastAsia="仿宋"/>
                <w:color w:val="000000"/>
                <w:sz w:val="18"/>
                <w:szCs w:val="18"/>
              </w:rPr>
            </w:pPr>
            <w:r>
              <w:rPr>
                <w:rFonts w:eastAsia="仿宋" w:hint="eastAsia"/>
                <w:color w:val="000000"/>
                <w:sz w:val="18"/>
                <w:szCs w:val="18"/>
              </w:rPr>
              <w:t>S</w:t>
            </w:r>
            <w:r>
              <w:rPr>
                <w:rFonts w:eastAsia="仿宋"/>
                <w:color w:val="000000"/>
                <w:sz w:val="18"/>
                <w:szCs w:val="18"/>
              </w:rPr>
              <w:t>hareholder: employees</w:t>
            </w:r>
          </w:p>
        </w:tc>
        <w:tc>
          <w:tcPr>
            <w:tcW w:w="1417" w:type="dxa"/>
            <w:tcBorders>
              <w:top w:val="nil"/>
              <w:left w:val="nil"/>
              <w:bottom w:val="single" w:sz="4" w:space="0" w:color="auto"/>
              <w:right w:val="single" w:sz="4" w:space="0" w:color="auto"/>
            </w:tcBorders>
            <w:shd w:val="clear" w:color="auto" w:fill="auto"/>
            <w:vAlign w:val="center"/>
          </w:tcPr>
          <w:p w14:paraId="5579A437" w14:textId="2B296059" w:rsidR="00326762" w:rsidRPr="00B643C8" w:rsidRDefault="00326762" w:rsidP="00B643C8">
            <w:pPr>
              <w:spacing w:line="200" w:lineRule="exact"/>
              <w:rPr>
                <w:rFonts w:eastAsia="仿宋"/>
                <w:sz w:val="18"/>
                <w:szCs w:val="18"/>
              </w:rPr>
            </w:pPr>
            <w:r>
              <w:rPr>
                <w:rFonts w:eastAsia="仿宋" w:hint="eastAsia"/>
                <w:sz w:val="18"/>
                <w:szCs w:val="18"/>
              </w:rPr>
              <w:t>B</w:t>
            </w:r>
            <w:r>
              <w:rPr>
                <w:rFonts w:eastAsia="仿宋"/>
                <w:sz w:val="18"/>
                <w:szCs w:val="18"/>
              </w:rPr>
              <w:t>VI</w:t>
            </w:r>
          </w:p>
        </w:tc>
        <w:tc>
          <w:tcPr>
            <w:tcW w:w="957" w:type="dxa"/>
            <w:tcBorders>
              <w:top w:val="nil"/>
              <w:left w:val="nil"/>
              <w:bottom w:val="single" w:sz="4" w:space="0" w:color="auto"/>
              <w:right w:val="single" w:sz="4" w:space="0" w:color="auto"/>
            </w:tcBorders>
            <w:shd w:val="clear" w:color="auto" w:fill="auto"/>
            <w:vAlign w:val="center"/>
          </w:tcPr>
          <w:p w14:paraId="369DB4F6" w14:textId="7A4928F4" w:rsidR="00326762" w:rsidRPr="00B643C8" w:rsidRDefault="00326762" w:rsidP="00B643C8">
            <w:pPr>
              <w:spacing w:line="200" w:lineRule="exact"/>
              <w:jc w:val="center"/>
              <w:rPr>
                <w:rFonts w:eastAsia="仿宋"/>
                <w:color w:val="000000"/>
                <w:sz w:val="18"/>
                <w:szCs w:val="18"/>
              </w:rPr>
            </w:pPr>
            <w:r>
              <w:rPr>
                <w:rFonts w:eastAsia="仿宋"/>
                <w:color w:val="000000"/>
                <w:sz w:val="18"/>
                <w:szCs w:val="18"/>
              </w:rPr>
              <w:t>2</w:t>
            </w:r>
          </w:p>
        </w:tc>
        <w:tc>
          <w:tcPr>
            <w:tcW w:w="2445" w:type="dxa"/>
            <w:tcBorders>
              <w:top w:val="nil"/>
              <w:left w:val="nil"/>
              <w:bottom w:val="single" w:sz="4" w:space="0" w:color="auto"/>
              <w:right w:val="single" w:sz="4" w:space="0" w:color="auto"/>
            </w:tcBorders>
            <w:shd w:val="clear" w:color="auto" w:fill="auto"/>
            <w:vAlign w:val="center"/>
          </w:tcPr>
          <w:p w14:paraId="5B34192F" w14:textId="2FE486CE" w:rsidR="00326762" w:rsidRPr="00B643C8" w:rsidRDefault="00326762" w:rsidP="00B643C8">
            <w:pPr>
              <w:spacing w:line="200" w:lineRule="exact"/>
              <w:rPr>
                <w:rFonts w:eastAsia="仿宋"/>
                <w:color w:val="000000"/>
                <w:sz w:val="18"/>
                <w:szCs w:val="18"/>
              </w:rPr>
            </w:pPr>
            <w:r w:rsidRPr="00B643C8">
              <w:rPr>
                <w:rFonts w:eastAsia="仿宋"/>
                <w:color w:val="000000"/>
                <w:sz w:val="18"/>
                <w:szCs w:val="18"/>
              </w:rPr>
              <w:t>In overseas projects with carried interest distribution, the sole shareholder of the deal funds in Cayman Islands (a.k.a. BHR Investment Management Limited) will transfer 30% of its shares of GP I/GP II/GP III to the carried interest distribution entity.</w:t>
            </w:r>
          </w:p>
        </w:tc>
      </w:tr>
      <w:tr w:rsidR="00326762" w:rsidRPr="00B643C8" w14:paraId="2A271098" w14:textId="77777777" w:rsidTr="005F5823">
        <w:trPr>
          <w:trHeight w:val="1557"/>
        </w:trPr>
        <w:tc>
          <w:tcPr>
            <w:tcW w:w="948" w:type="dxa"/>
            <w:vMerge/>
            <w:tcBorders>
              <w:top w:val="nil"/>
              <w:left w:val="single" w:sz="4" w:space="0" w:color="auto"/>
              <w:bottom w:val="single" w:sz="4" w:space="0" w:color="auto"/>
              <w:right w:val="single" w:sz="4" w:space="0" w:color="auto"/>
            </w:tcBorders>
            <w:vAlign w:val="center"/>
            <w:hideMark/>
          </w:tcPr>
          <w:p w14:paraId="711CB033" w14:textId="77777777" w:rsidR="00326762" w:rsidRPr="00B643C8" w:rsidRDefault="00326762" w:rsidP="00326762">
            <w:pPr>
              <w:spacing w:line="200" w:lineRule="exact"/>
              <w:rPr>
                <w:rFonts w:eastAsia="仿宋"/>
                <w:b/>
                <w:color w:val="000000"/>
                <w:sz w:val="18"/>
                <w:szCs w:val="18"/>
              </w:rPr>
            </w:pPr>
          </w:p>
        </w:tc>
        <w:tc>
          <w:tcPr>
            <w:tcW w:w="1906" w:type="dxa"/>
            <w:tcBorders>
              <w:top w:val="nil"/>
              <w:left w:val="nil"/>
              <w:bottom w:val="single" w:sz="4" w:space="0" w:color="auto"/>
              <w:right w:val="single" w:sz="4" w:space="0" w:color="auto"/>
            </w:tcBorders>
            <w:shd w:val="clear" w:color="auto" w:fill="auto"/>
            <w:vAlign w:val="center"/>
            <w:hideMark/>
          </w:tcPr>
          <w:p w14:paraId="74A090AE" w14:textId="3192CC72" w:rsidR="00326762" w:rsidRPr="00B643C8" w:rsidRDefault="00326762" w:rsidP="00326762">
            <w:pPr>
              <w:spacing w:line="200" w:lineRule="exact"/>
              <w:rPr>
                <w:rFonts w:eastAsia="仿宋"/>
                <w:color w:val="000000"/>
                <w:sz w:val="18"/>
                <w:szCs w:val="18"/>
              </w:rPr>
            </w:pPr>
            <w:r>
              <w:rPr>
                <w:rFonts w:eastAsia="仿宋"/>
                <w:color w:val="000000"/>
                <w:sz w:val="18"/>
                <w:szCs w:val="18"/>
              </w:rPr>
              <w:t>Employee</w:t>
            </w:r>
            <w:r w:rsidRPr="00B643C8">
              <w:rPr>
                <w:rFonts w:eastAsia="仿宋"/>
                <w:color w:val="000000"/>
                <w:sz w:val="18"/>
                <w:szCs w:val="18"/>
              </w:rPr>
              <w:t xml:space="preserve"> Co-investment Entity</w:t>
            </w:r>
          </w:p>
        </w:tc>
        <w:tc>
          <w:tcPr>
            <w:tcW w:w="3103" w:type="dxa"/>
            <w:tcBorders>
              <w:top w:val="nil"/>
              <w:left w:val="nil"/>
              <w:bottom w:val="single" w:sz="4" w:space="0" w:color="auto"/>
              <w:right w:val="single" w:sz="4" w:space="0" w:color="auto"/>
            </w:tcBorders>
            <w:shd w:val="clear" w:color="auto" w:fill="auto"/>
            <w:vAlign w:val="center"/>
            <w:hideMark/>
          </w:tcPr>
          <w:p w14:paraId="4EDB62AA" w14:textId="67BA10CC" w:rsidR="00326762" w:rsidRPr="00B643C8" w:rsidRDefault="00326762" w:rsidP="00326762">
            <w:pPr>
              <w:spacing w:line="200" w:lineRule="exact"/>
              <w:rPr>
                <w:rFonts w:eastAsia="仿宋"/>
                <w:color w:val="000000"/>
                <w:sz w:val="18"/>
                <w:szCs w:val="18"/>
              </w:rPr>
            </w:pPr>
            <w:r w:rsidRPr="00326762">
              <w:rPr>
                <w:rFonts w:eastAsia="仿宋"/>
                <w:color w:val="000000"/>
                <w:sz w:val="18"/>
                <w:szCs w:val="18"/>
              </w:rPr>
              <w:t>BHR New XXX Investment Management Limited</w:t>
            </w:r>
          </w:p>
        </w:tc>
        <w:tc>
          <w:tcPr>
            <w:tcW w:w="2974" w:type="dxa"/>
            <w:tcBorders>
              <w:top w:val="nil"/>
              <w:left w:val="nil"/>
              <w:bottom w:val="single" w:sz="4" w:space="0" w:color="auto"/>
              <w:right w:val="single" w:sz="4" w:space="0" w:color="auto"/>
            </w:tcBorders>
            <w:shd w:val="clear" w:color="auto" w:fill="auto"/>
            <w:vAlign w:val="center"/>
            <w:hideMark/>
          </w:tcPr>
          <w:p w14:paraId="5164EC8C" w14:textId="37E87240" w:rsidR="00326762" w:rsidRPr="00B643C8" w:rsidRDefault="00326762" w:rsidP="00326762">
            <w:pPr>
              <w:spacing w:line="200" w:lineRule="exact"/>
              <w:rPr>
                <w:rFonts w:eastAsia="仿宋"/>
                <w:color w:val="000000"/>
                <w:sz w:val="18"/>
                <w:szCs w:val="18"/>
              </w:rPr>
            </w:pPr>
            <w:r w:rsidRPr="00B643C8">
              <w:rPr>
                <w:rFonts w:eastAsia="仿宋" w:hint="eastAsia"/>
                <w:color w:val="000000"/>
                <w:sz w:val="18"/>
                <w:szCs w:val="18"/>
              </w:rPr>
              <w:t>S</w:t>
            </w:r>
            <w:r w:rsidRPr="00B643C8">
              <w:rPr>
                <w:rFonts w:eastAsia="仿宋"/>
                <w:color w:val="000000"/>
                <w:sz w:val="18"/>
                <w:szCs w:val="18"/>
              </w:rPr>
              <w:t xml:space="preserve">hareholder: </w:t>
            </w:r>
            <w:r>
              <w:rPr>
                <w:rFonts w:eastAsia="仿宋"/>
                <w:color w:val="000000"/>
                <w:sz w:val="18"/>
                <w:szCs w:val="18"/>
              </w:rPr>
              <w:t>employees</w:t>
            </w:r>
          </w:p>
        </w:tc>
        <w:tc>
          <w:tcPr>
            <w:tcW w:w="1417" w:type="dxa"/>
            <w:tcBorders>
              <w:top w:val="nil"/>
              <w:left w:val="nil"/>
              <w:bottom w:val="single" w:sz="4" w:space="0" w:color="auto"/>
              <w:right w:val="single" w:sz="4" w:space="0" w:color="auto"/>
            </w:tcBorders>
            <w:shd w:val="clear" w:color="auto" w:fill="auto"/>
            <w:vAlign w:val="center"/>
            <w:hideMark/>
          </w:tcPr>
          <w:p w14:paraId="27D39A11" w14:textId="77777777" w:rsidR="00326762" w:rsidRPr="00B643C8" w:rsidRDefault="00326762" w:rsidP="00326762">
            <w:pPr>
              <w:spacing w:line="200" w:lineRule="exact"/>
              <w:rPr>
                <w:rFonts w:eastAsia="仿宋"/>
                <w:color w:val="000000"/>
                <w:sz w:val="18"/>
                <w:szCs w:val="18"/>
              </w:rPr>
            </w:pPr>
            <w:r w:rsidRPr="00B643C8">
              <w:rPr>
                <w:rFonts w:eastAsia="仿宋"/>
                <w:color w:val="000000"/>
                <w:sz w:val="18"/>
                <w:szCs w:val="18"/>
              </w:rPr>
              <w:t>BVI</w:t>
            </w:r>
          </w:p>
        </w:tc>
        <w:tc>
          <w:tcPr>
            <w:tcW w:w="957" w:type="dxa"/>
            <w:tcBorders>
              <w:top w:val="nil"/>
              <w:left w:val="nil"/>
              <w:bottom w:val="single" w:sz="4" w:space="0" w:color="auto"/>
              <w:right w:val="single" w:sz="4" w:space="0" w:color="auto"/>
            </w:tcBorders>
            <w:shd w:val="clear" w:color="auto" w:fill="auto"/>
            <w:vAlign w:val="center"/>
            <w:hideMark/>
          </w:tcPr>
          <w:p w14:paraId="7BCA4488" w14:textId="24BE4770" w:rsidR="00326762" w:rsidRPr="00B643C8" w:rsidRDefault="00326762" w:rsidP="00326762">
            <w:pPr>
              <w:spacing w:line="200" w:lineRule="exact"/>
              <w:jc w:val="center"/>
              <w:rPr>
                <w:rFonts w:eastAsia="仿宋"/>
                <w:color w:val="000000"/>
                <w:sz w:val="18"/>
                <w:szCs w:val="18"/>
              </w:rPr>
            </w:pPr>
            <w:r>
              <w:rPr>
                <w:rFonts w:eastAsia="仿宋" w:hint="eastAsia"/>
                <w:color w:val="000000"/>
                <w:sz w:val="18"/>
                <w:szCs w:val="18"/>
              </w:rPr>
              <w:t>1</w:t>
            </w:r>
          </w:p>
        </w:tc>
        <w:tc>
          <w:tcPr>
            <w:tcW w:w="2445" w:type="dxa"/>
            <w:tcBorders>
              <w:top w:val="nil"/>
              <w:left w:val="nil"/>
              <w:bottom w:val="single" w:sz="4" w:space="0" w:color="auto"/>
              <w:right w:val="single" w:sz="4" w:space="0" w:color="auto"/>
            </w:tcBorders>
            <w:shd w:val="clear" w:color="auto" w:fill="auto"/>
            <w:vAlign w:val="center"/>
            <w:hideMark/>
          </w:tcPr>
          <w:p w14:paraId="19B404C1" w14:textId="2C0FFBD2" w:rsidR="00326762" w:rsidRPr="00B643C8" w:rsidRDefault="00326762" w:rsidP="00326762">
            <w:pPr>
              <w:spacing w:line="200" w:lineRule="exact"/>
              <w:rPr>
                <w:rFonts w:eastAsia="仿宋"/>
                <w:color w:val="000000"/>
                <w:sz w:val="18"/>
                <w:szCs w:val="18"/>
              </w:rPr>
            </w:pPr>
            <w:r w:rsidRPr="00B643C8">
              <w:rPr>
                <w:rFonts w:eastAsia="仿宋"/>
                <w:color w:val="000000"/>
                <w:sz w:val="18"/>
                <w:szCs w:val="18"/>
              </w:rPr>
              <w:t>Will serve as LP and co-invest in deal funds with other investors.</w:t>
            </w:r>
          </w:p>
        </w:tc>
      </w:tr>
    </w:tbl>
    <w:p w14:paraId="37B45EB4" w14:textId="77777777" w:rsidR="00B643C8" w:rsidRPr="00B643C8" w:rsidRDefault="00B643C8" w:rsidP="00B643C8">
      <w:pPr>
        <w:spacing w:before="480" w:after="480" w:line="480" w:lineRule="exact"/>
        <w:jc w:val="center"/>
        <w:rPr>
          <w:rFonts w:eastAsia="仿宋_GB2312"/>
          <w:b/>
          <w:bCs/>
          <w:sz w:val="28"/>
          <w:lang w:val="en-US"/>
        </w:rPr>
        <w:sectPr w:rsidR="00B643C8" w:rsidRPr="00B643C8" w:rsidSect="004F604A">
          <w:pgSz w:w="16838" w:h="11906" w:orient="landscape" w:code="9"/>
          <w:pgMar w:top="1797" w:right="1079" w:bottom="1797" w:left="1440" w:header="851" w:footer="992" w:gutter="0"/>
          <w:cols w:space="425"/>
          <w:docGrid w:type="lines" w:linePitch="326"/>
        </w:sectPr>
      </w:pPr>
    </w:p>
    <w:p w14:paraId="1F751FC0" w14:textId="7C3C6ADF" w:rsidR="001100D8" w:rsidRPr="001100D8" w:rsidRDefault="001100D8" w:rsidP="00EE1E53">
      <w:pPr>
        <w:tabs>
          <w:tab w:val="left" w:pos="330"/>
        </w:tabs>
        <w:spacing w:before="220" w:after="220" w:line="360" w:lineRule="auto"/>
        <w:jc w:val="center"/>
        <w:rPr>
          <w:rFonts w:eastAsia="仿宋_GB2312"/>
          <w:b/>
          <w:bCs/>
          <w:sz w:val="28"/>
          <w:szCs w:val="28"/>
        </w:rPr>
      </w:pPr>
      <w:r w:rsidRPr="001100D8">
        <w:rPr>
          <w:rFonts w:eastAsia="仿宋_GB2312"/>
          <w:b/>
          <w:bCs/>
          <w:sz w:val="28"/>
          <w:szCs w:val="28"/>
        </w:rPr>
        <w:lastRenderedPageBreak/>
        <w:t>Work Report</w:t>
      </w:r>
      <w:r>
        <w:rPr>
          <w:rFonts w:eastAsia="仿宋_GB2312"/>
          <w:b/>
          <w:bCs/>
          <w:sz w:val="28"/>
          <w:szCs w:val="28"/>
        </w:rPr>
        <w:t xml:space="preserve"> for 201</w:t>
      </w:r>
      <w:r w:rsidR="00B247C4">
        <w:rPr>
          <w:rFonts w:eastAsia="仿宋_GB2312"/>
          <w:b/>
          <w:bCs/>
          <w:sz w:val="28"/>
          <w:szCs w:val="28"/>
        </w:rPr>
        <w:t>8</w:t>
      </w:r>
    </w:p>
    <w:p w14:paraId="4F6D4B1D" w14:textId="2504E1F1" w:rsidR="00301393" w:rsidRDefault="00541FB7" w:rsidP="009A2AEF">
      <w:pPr>
        <w:spacing w:line="360" w:lineRule="auto"/>
        <w:jc w:val="both"/>
        <w:rPr>
          <w:rFonts w:eastAsia="仿宋_GB2312"/>
          <w:bCs/>
          <w:sz w:val="28"/>
          <w:szCs w:val="28"/>
          <w:lang w:val="en-US"/>
        </w:rPr>
      </w:pPr>
      <w:r>
        <w:rPr>
          <w:rFonts w:eastAsia="仿宋_GB2312"/>
          <w:bCs/>
          <w:sz w:val="28"/>
          <w:szCs w:val="28"/>
          <w:lang w:val="en-US"/>
        </w:rPr>
        <w:t xml:space="preserve">Generally speaking, 2018 was an extremely difficult year. </w:t>
      </w:r>
      <w:r w:rsidR="005D2E65">
        <w:rPr>
          <w:rFonts w:eastAsia="仿宋_GB2312"/>
          <w:bCs/>
          <w:sz w:val="28"/>
          <w:szCs w:val="28"/>
          <w:lang w:val="en-US"/>
        </w:rPr>
        <w:t>O</w:t>
      </w:r>
      <w:r w:rsidR="00555C39">
        <w:rPr>
          <w:rFonts w:eastAsia="仿宋_GB2312"/>
          <w:bCs/>
          <w:sz w:val="28"/>
          <w:szCs w:val="28"/>
          <w:lang w:val="en-US"/>
        </w:rPr>
        <w:t>n the fund</w:t>
      </w:r>
      <w:r w:rsidR="008320ED">
        <w:rPr>
          <w:rFonts w:eastAsia="仿宋_GB2312"/>
          <w:bCs/>
          <w:sz w:val="28"/>
          <w:szCs w:val="28"/>
          <w:lang w:val="en-US"/>
        </w:rPr>
        <w:t>rais</w:t>
      </w:r>
      <w:r w:rsidR="00555C39">
        <w:rPr>
          <w:rFonts w:eastAsia="仿宋_GB2312"/>
          <w:bCs/>
          <w:sz w:val="28"/>
          <w:szCs w:val="28"/>
          <w:lang w:val="en-US"/>
        </w:rPr>
        <w:t xml:space="preserve">ing </w:t>
      </w:r>
      <w:r w:rsidR="005D2E65">
        <w:rPr>
          <w:rFonts w:eastAsia="仿宋_GB2312"/>
          <w:bCs/>
          <w:sz w:val="28"/>
          <w:szCs w:val="28"/>
          <w:lang w:val="en-US"/>
        </w:rPr>
        <w:t>front</w:t>
      </w:r>
      <w:r w:rsidR="00555C39">
        <w:rPr>
          <w:rFonts w:eastAsia="仿宋_GB2312"/>
          <w:bCs/>
          <w:sz w:val="28"/>
          <w:szCs w:val="28"/>
          <w:lang w:val="en-US"/>
        </w:rPr>
        <w:t xml:space="preserve">, </w:t>
      </w:r>
      <w:r w:rsidR="00301393" w:rsidRPr="00301393">
        <w:rPr>
          <w:rFonts w:eastAsia="仿宋_GB2312"/>
          <w:bCs/>
          <w:sz w:val="28"/>
          <w:szCs w:val="28"/>
          <w:lang w:val="en-US"/>
        </w:rPr>
        <w:t xml:space="preserve">the </w:t>
      </w:r>
      <w:r w:rsidR="008320ED">
        <w:rPr>
          <w:rFonts w:eastAsia="仿宋_GB2312"/>
          <w:bCs/>
          <w:sz w:val="28"/>
          <w:szCs w:val="28"/>
          <w:lang w:val="en-US"/>
        </w:rPr>
        <w:t>Government</w:t>
      </w:r>
      <w:r w:rsidR="005D2E65">
        <w:rPr>
          <w:rFonts w:eastAsia="仿宋_GB2312"/>
          <w:bCs/>
          <w:sz w:val="28"/>
          <w:szCs w:val="28"/>
          <w:lang w:val="en-US"/>
        </w:rPr>
        <w:t xml:space="preserve"> issued a host of</w:t>
      </w:r>
      <w:r w:rsidR="008320ED">
        <w:rPr>
          <w:rFonts w:eastAsia="仿宋_GB2312"/>
          <w:bCs/>
          <w:sz w:val="28"/>
          <w:szCs w:val="28"/>
          <w:lang w:val="en-US"/>
        </w:rPr>
        <w:t xml:space="preserve"> </w:t>
      </w:r>
      <w:r w:rsidR="005D2E65">
        <w:rPr>
          <w:rFonts w:eastAsia="仿宋_GB2312"/>
          <w:bCs/>
          <w:sz w:val="28"/>
          <w:szCs w:val="28"/>
          <w:lang w:val="en-US"/>
        </w:rPr>
        <w:t>“</w:t>
      </w:r>
      <w:r w:rsidR="00301393" w:rsidRPr="00301393">
        <w:rPr>
          <w:rFonts w:eastAsia="仿宋_GB2312"/>
          <w:bCs/>
          <w:sz w:val="28"/>
          <w:szCs w:val="28"/>
          <w:lang w:val="en-US"/>
        </w:rPr>
        <w:t>de-leverag</w:t>
      </w:r>
      <w:r w:rsidR="005D2E65">
        <w:rPr>
          <w:rFonts w:eastAsia="仿宋_GB2312"/>
          <w:bCs/>
          <w:sz w:val="28"/>
          <w:szCs w:val="28"/>
          <w:lang w:val="en-US"/>
        </w:rPr>
        <w:t>ing”</w:t>
      </w:r>
      <w:r w:rsidR="008320ED">
        <w:rPr>
          <w:rFonts w:eastAsia="仿宋_GB2312"/>
          <w:bCs/>
          <w:sz w:val="28"/>
          <w:szCs w:val="28"/>
          <w:lang w:val="en-US"/>
        </w:rPr>
        <w:t xml:space="preserve"> directives</w:t>
      </w:r>
      <w:r w:rsidR="005D2E65">
        <w:rPr>
          <w:rFonts w:eastAsia="仿宋_GB2312"/>
          <w:bCs/>
          <w:sz w:val="28"/>
          <w:szCs w:val="28"/>
          <w:lang w:val="en-US"/>
        </w:rPr>
        <w:t xml:space="preserve"> aimed at reducing corporate borrowings, non-performing loans and shadow banking</w:t>
      </w:r>
      <w:r>
        <w:rPr>
          <w:rFonts w:eastAsia="仿宋_GB2312"/>
          <w:bCs/>
          <w:sz w:val="28"/>
          <w:szCs w:val="28"/>
          <w:lang w:val="en-US"/>
        </w:rPr>
        <w:t xml:space="preserve"> over the past few years</w:t>
      </w:r>
      <w:r w:rsidR="00AD3C70">
        <w:rPr>
          <w:rFonts w:eastAsia="仿宋_GB2312"/>
          <w:bCs/>
          <w:sz w:val="28"/>
          <w:szCs w:val="28"/>
          <w:lang w:val="en-US"/>
        </w:rPr>
        <w:t xml:space="preserve"> and in response to such directives,</w:t>
      </w:r>
      <w:r w:rsidR="00301393" w:rsidRPr="00301393">
        <w:rPr>
          <w:rFonts w:eastAsia="仿宋_GB2312"/>
          <w:bCs/>
          <w:sz w:val="28"/>
          <w:szCs w:val="28"/>
          <w:lang w:val="en-US"/>
        </w:rPr>
        <w:t xml:space="preserve"> the </w:t>
      </w:r>
      <w:r w:rsidR="001E12C8">
        <w:rPr>
          <w:rFonts w:eastAsia="仿宋_GB2312"/>
          <w:bCs/>
          <w:sz w:val="28"/>
          <w:szCs w:val="28"/>
          <w:lang w:val="en-US"/>
        </w:rPr>
        <w:t>much awaited</w:t>
      </w:r>
      <w:r w:rsidR="002C21B7">
        <w:rPr>
          <w:rFonts w:eastAsia="仿宋_GB2312"/>
          <w:bCs/>
          <w:sz w:val="28"/>
          <w:szCs w:val="28"/>
          <w:lang w:val="en-US"/>
        </w:rPr>
        <w:t xml:space="preserve"> </w:t>
      </w:r>
      <w:r w:rsidR="00A74BBA">
        <w:rPr>
          <w:rFonts w:eastAsia="仿宋_GB2312"/>
          <w:bCs/>
          <w:sz w:val="28"/>
          <w:szCs w:val="28"/>
          <w:lang w:val="en-US"/>
        </w:rPr>
        <w:t xml:space="preserve">new </w:t>
      </w:r>
      <w:r w:rsidR="00AD3C70">
        <w:rPr>
          <w:rFonts w:eastAsia="仿宋_GB2312"/>
          <w:bCs/>
          <w:sz w:val="28"/>
          <w:szCs w:val="28"/>
          <w:lang w:val="en-US"/>
        </w:rPr>
        <w:t>“</w:t>
      </w:r>
      <w:r w:rsidR="00E84D74">
        <w:rPr>
          <w:rFonts w:eastAsia="仿宋_GB2312"/>
          <w:bCs/>
          <w:sz w:val="28"/>
          <w:szCs w:val="28"/>
          <w:lang w:val="en-US"/>
        </w:rPr>
        <w:t xml:space="preserve">financial institutions </w:t>
      </w:r>
      <w:r w:rsidR="00AD3C70">
        <w:rPr>
          <w:rFonts w:eastAsia="仿宋_GB2312"/>
          <w:bCs/>
          <w:sz w:val="28"/>
          <w:szCs w:val="28"/>
          <w:lang w:val="en-US"/>
        </w:rPr>
        <w:t xml:space="preserve">asset management” </w:t>
      </w:r>
      <w:r w:rsidR="00E84D74">
        <w:rPr>
          <w:rFonts w:eastAsia="仿宋_GB2312"/>
          <w:bCs/>
          <w:sz w:val="28"/>
          <w:szCs w:val="28"/>
          <w:lang w:val="en-US"/>
        </w:rPr>
        <w:t xml:space="preserve">regulations </w:t>
      </w:r>
      <w:r w:rsidR="001E12C8">
        <w:rPr>
          <w:rFonts w:eastAsia="仿宋_GB2312"/>
          <w:bCs/>
          <w:sz w:val="28"/>
          <w:szCs w:val="28"/>
          <w:lang w:val="en-US"/>
        </w:rPr>
        <w:t>w</w:t>
      </w:r>
      <w:r w:rsidR="00E84D74">
        <w:rPr>
          <w:rFonts w:eastAsia="仿宋_GB2312"/>
          <w:bCs/>
          <w:sz w:val="28"/>
          <w:szCs w:val="28"/>
          <w:lang w:val="en-US"/>
        </w:rPr>
        <w:t>ere</w:t>
      </w:r>
      <w:r w:rsidR="001E12C8">
        <w:rPr>
          <w:rFonts w:eastAsia="仿宋_GB2312"/>
          <w:bCs/>
          <w:sz w:val="28"/>
          <w:szCs w:val="28"/>
          <w:lang w:val="en-US"/>
        </w:rPr>
        <w:t xml:space="preserve"> </w:t>
      </w:r>
      <w:r w:rsidR="00E84D74">
        <w:rPr>
          <w:rFonts w:eastAsia="仿宋_GB2312"/>
          <w:bCs/>
          <w:sz w:val="28"/>
          <w:szCs w:val="28"/>
          <w:lang w:val="en-US"/>
        </w:rPr>
        <w:t xml:space="preserve">finally </w:t>
      </w:r>
      <w:r w:rsidR="001E12C8">
        <w:rPr>
          <w:rFonts w:eastAsia="仿宋_GB2312"/>
          <w:bCs/>
          <w:sz w:val="28"/>
          <w:szCs w:val="28"/>
          <w:lang w:val="en-US"/>
        </w:rPr>
        <w:t>promulgated by China’s Banking Regulatory Commission</w:t>
      </w:r>
      <w:r w:rsidR="00067C19">
        <w:rPr>
          <w:rFonts w:eastAsia="仿宋_GB2312"/>
          <w:bCs/>
          <w:sz w:val="28"/>
          <w:szCs w:val="28"/>
          <w:lang w:val="en-US"/>
        </w:rPr>
        <w:t xml:space="preserve"> (“</w:t>
      </w:r>
      <w:r w:rsidR="00E84D74" w:rsidRPr="005F5823">
        <w:rPr>
          <w:rFonts w:eastAsia="仿宋_GB2312"/>
          <w:b/>
          <w:bCs/>
          <w:sz w:val="28"/>
          <w:szCs w:val="28"/>
          <w:lang w:val="en-US"/>
        </w:rPr>
        <w:t xml:space="preserve">2018 </w:t>
      </w:r>
      <w:r w:rsidR="00067C19" w:rsidRPr="005F5823">
        <w:rPr>
          <w:rFonts w:eastAsia="仿宋_GB2312"/>
          <w:b/>
          <w:bCs/>
          <w:sz w:val="28"/>
          <w:szCs w:val="28"/>
          <w:lang w:val="en-US"/>
        </w:rPr>
        <w:t>Asset Management Regulations</w:t>
      </w:r>
      <w:r w:rsidR="00067C19">
        <w:rPr>
          <w:rFonts w:eastAsia="仿宋_GB2312"/>
          <w:bCs/>
          <w:sz w:val="28"/>
          <w:szCs w:val="28"/>
          <w:lang w:val="en-US"/>
        </w:rPr>
        <w:t>”)</w:t>
      </w:r>
      <w:r w:rsidR="00AD3C70">
        <w:rPr>
          <w:rFonts w:eastAsia="仿宋_GB2312"/>
          <w:bCs/>
          <w:sz w:val="28"/>
          <w:szCs w:val="28"/>
          <w:lang w:val="en-US"/>
        </w:rPr>
        <w:t xml:space="preserve"> this April</w:t>
      </w:r>
      <w:r w:rsidR="00067C19">
        <w:rPr>
          <w:rFonts w:eastAsia="仿宋_GB2312"/>
          <w:bCs/>
          <w:sz w:val="28"/>
          <w:szCs w:val="28"/>
          <w:lang w:val="en-US"/>
        </w:rPr>
        <w:t>.</w:t>
      </w:r>
      <w:r w:rsidR="00AD3C70">
        <w:rPr>
          <w:rFonts w:eastAsia="仿宋_GB2312"/>
          <w:bCs/>
          <w:sz w:val="28"/>
          <w:szCs w:val="28"/>
          <w:lang w:val="en-US"/>
        </w:rPr>
        <w:t xml:space="preserve"> </w:t>
      </w:r>
      <w:r w:rsidR="00067C19">
        <w:rPr>
          <w:rFonts w:eastAsia="仿宋_GB2312"/>
          <w:bCs/>
          <w:sz w:val="28"/>
          <w:szCs w:val="28"/>
          <w:lang w:val="en-US"/>
        </w:rPr>
        <w:t xml:space="preserve"> The </w:t>
      </w:r>
      <w:r w:rsidR="00E84D74">
        <w:rPr>
          <w:rFonts w:eastAsia="仿宋_GB2312"/>
          <w:bCs/>
          <w:sz w:val="28"/>
          <w:szCs w:val="28"/>
          <w:lang w:val="en-US"/>
        </w:rPr>
        <w:t xml:space="preserve">2018 </w:t>
      </w:r>
      <w:r w:rsidR="00067C19">
        <w:rPr>
          <w:rFonts w:eastAsia="仿宋_GB2312"/>
          <w:bCs/>
          <w:sz w:val="28"/>
          <w:szCs w:val="28"/>
          <w:lang w:val="en-US"/>
        </w:rPr>
        <w:t>Asset Management Regulations</w:t>
      </w:r>
      <w:r w:rsidR="00301393" w:rsidRPr="00301393">
        <w:rPr>
          <w:rFonts w:eastAsia="仿宋_GB2312"/>
          <w:bCs/>
          <w:sz w:val="28"/>
          <w:szCs w:val="28"/>
          <w:lang w:val="en-US"/>
        </w:rPr>
        <w:t xml:space="preserve"> </w:t>
      </w:r>
      <w:r w:rsidR="008C4723">
        <w:rPr>
          <w:rFonts w:eastAsia="仿宋_GB2312"/>
          <w:bCs/>
          <w:sz w:val="28"/>
          <w:szCs w:val="28"/>
          <w:lang w:val="en-US"/>
        </w:rPr>
        <w:t>essentially</w:t>
      </w:r>
      <w:r w:rsidR="00067C19">
        <w:rPr>
          <w:rFonts w:eastAsia="仿宋_GB2312"/>
          <w:bCs/>
          <w:sz w:val="28"/>
          <w:szCs w:val="28"/>
          <w:lang w:val="en-US"/>
        </w:rPr>
        <w:t xml:space="preserve"> prohibit</w:t>
      </w:r>
      <w:r w:rsidR="008320ED">
        <w:rPr>
          <w:rFonts w:eastAsia="仿宋_GB2312"/>
          <w:bCs/>
          <w:sz w:val="28"/>
          <w:szCs w:val="28"/>
          <w:lang w:val="en-US"/>
        </w:rPr>
        <w:t xml:space="preserve"> banks and their asset management affiliates</w:t>
      </w:r>
      <w:r w:rsidR="00AD3C70">
        <w:rPr>
          <w:rFonts w:eastAsia="仿宋_GB2312"/>
          <w:bCs/>
          <w:sz w:val="28"/>
          <w:szCs w:val="28"/>
          <w:lang w:val="en-US"/>
        </w:rPr>
        <w:t xml:space="preserve"> (</w:t>
      </w:r>
      <w:r w:rsidR="00550BDA">
        <w:rPr>
          <w:rFonts w:eastAsia="仿宋_GB2312"/>
          <w:bCs/>
          <w:sz w:val="28"/>
          <w:szCs w:val="28"/>
          <w:lang w:val="en-US"/>
        </w:rPr>
        <w:t>previously private equity funds’ largest LP base</w:t>
      </w:r>
      <w:r w:rsidR="00AD3C70">
        <w:rPr>
          <w:rFonts w:eastAsia="仿宋_GB2312"/>
          <w:bCs/>
          <w:sz w:val="28"/>
          <w:szCs w:val="28"/>
          <w:lang w:val="en-US"/>
        </w:rPr>
        <w:t>)</w:t>
      </w:r>
      <w:r w:rsidR="008320ED">
        <w:rPr>
          <w:rFonts w:eastAsia="仿宋_GB2312"/>
          <w:bCs/>
          <w:sz w:val="28"/>
          <w:szCs w:val="28"/>
          <w:lang w:val="en-US"/>
        </w:rPr>
        <w:t xml:space="preserve"> from </w:t>
      </w:r>
      <w:r w:rsidR="00550BDA">
        <w:rPr>
          <w:rFonts w:eastAsia="仿宋_GB2312"/>
          <w:bCs/>
          <w:sz w:val="28"/>
          <w:szCs w:val="28"/>
          <w:lang w:val="en-US"/>
        </w:rPr>
        <w:t>subscribing</w:t>
      </w:r>
      <w:r w:rsidR="008320ED">
        <w:rPr>
          <w:rFonts w:eastAsia="仿宋_GB2312"/>
          <w:bCs/>
          <w:sz w:val="28"/>
          <w:szCs w:val="28"/>
          <w:lang w:val="en-US"/>
        </w:rPr>
        <w:t xml:space="preserve"> in private equity funds</w:t>
      </w:r>
      <w:r w:rsidR="00301393" w:rsidRPr="00301393">
        <w:rPr>
          <w:rFonts w:eastAsia="仿宋_GB2312"/>
          <w:bCs/>
          <w:sz w:val="28"/>
          <w:szCs w:val="28"/>
          <w:lang w:val="en-US"/>
        </w:rPr>
        <w:t xml:space="preserve">. </w:t>
      </w:r>
      <w:r w:rsidR="00ED3C71" w:rsidRPr="00301393">
        <w:rPr>
          <w:rFonts w:eastAsia="仿宋_GB2312"/>
          <w:bCs/>
          <w:sz w:val="28"/>
          <w:szCs w:val="28"/>
          <w:lang w:val="en-US"/>
        </w:rPr>
        <w:t>Zero2IPO</w:t>
      </w:r>
      <w:r w:rsidR="00ED3C71">
        <w:rPr>
          <w:rFonts w:eastAsia="仿宋_GB2312"/>
          <w:bCs/>
          <w:sz w:val="28"/>
          <w:szCs w:val="28"/>
          <w:lang w:val="en-US"/>
        </w:rPr>
        <w:t xml:space="preserve">, China’s leading ranking entity of private equity and venture capital </w:t>
      </w:r>
      <w:r w:rsidR="007E005C">
        <w:rPr>
          <w:rFonts w:eastAsia="仿宋_GB2312"/>
          <w:bCs/>
          <w:sz w:val="28"/>
          <w:szCs w:val="28"/>
          <w:lang w:val="en-US"/>
        </w:rPr>
        <w:t>firms</w:t>
      </w:r>
      <w:r w:rsidR="00ED3C71">
        <w:rPr>
          <w:rFonts w:eastAsia="仿宋_GB2312"/>
          <w:bCs/>
          <w:sz w:val="28"/>
          <w:szCs w:val="28"/>
          <w:lang w:val="en-US"/>
        </w:rPr>
        <w:t>,</w:t>
      </w:r>
      <w:r w:rsidR="00AB212B">
        <w:rPr>
          <w:rFonts w:eastAsia="仿宋_GB2312"/>
          <w:bCs/>
          <w:sz w:val="28"/>
          <w:szCs w:val="28"/>
          <w:lang w:val="en-US"/>
        </w:rPr>
        <w:t xml:space="preserve"> stated in its</w:t>
      </w:r>
      <w:r w:rsidR="007E005C">
        <w:rPr>
          <w:rFonts w:eastAsia="仿宋_GB2312"/>
          <w:bCs/>
          <w:sz w:val="28"/>
          <w:szCs w:val="28"/>
          <w:lang w:val="en-US"/>
        </w:rPr>
        <w:t xml:space="preserve"> </w:t>
      </w:r>
      <w:r w:rsidR="00AB212B">
        <w:rPr>
          <w:rFonts w:eastAsia="仿宋_GB2312"/>
          <w:bCs/>
          <w:sz w:val="28"/>
          <w:szCs w:val="28"/>
          <w:lang w:val="en-US"/>
        </w:rPr>
        <w:t xml:space="preserve">2018 </w:t>
      </w:r>
      <w:r w:rsidR="00301393" w:rsidRPr="00301393">
        <w:rPr>
          <w:rFonts w:eastAsia="仿宋_GB2312"/>
          <w:bCs/>
          <w:sz w:val="28"/>
          <w:szCs w:val="28"/>
          <w:lang w:val="en-US"/>
        </w:rPr>
        <w:t xml:space="preserve">industry report that in the first three quarters of 2018, 1,650 </w:t>
      </w:r>
      <w:r w:rsidR="008173E2">
        <w:rPr>
          <w:rFonts w:eastAsia="仿宋_GB2312"/>
          <w:bCs/>
          <w:sz w:val="28"/>
          <w:szCs w:val="28"/>
          <w:lang w:val="en-US"/>
        </w:rPr>
        <w:t xml:space="preserve">new equity-investment </w:t>
      </w:r>
      <w:r w:rsidR="00301393" w:rsidRPr="00301393">
        <w:rPr>
          <w:rFonts w:eastAsia="仿宋_GB2312"/>
          <w:bCs/>
          <w:sz w:val="28"/>
          <w:szCs w:val="28"/>
          <w:lang w:val="en-US"/>
        </w:rPr>
        <w:t>funds</w:t>
      </w:r>
      <w:r w:rsidR="008173E2">
        <w:rPr>
          <w:rFonts w:eastAsia="仿宋_GB2312"/>
          <w:bCs/>
          <w:sz w:val="28"/>
          <w:szCs w:val="28"/>
          <w:lang w:val="en-US"/>
        </w:rPr>
        <w:t xml:space="preserve"> were formed including</w:t>
      </w:r>
      <w:r w:rsidR="002B7D43">
        <w:rPr>
          <w:rFonts w:eastAsia="仿宋_GB2312"/>
          <w:bCs/>
          <w:sz w:val="28"/>
          <w:szCs w:val="28"/>
          <w:lang w:val="en-US"/>
        </w:rPr>
        <w:t xml:space="preserve"> </w:t>
      </w:r>
      <w:r w:rsidR="008173E2">
        <w:rPr>
          <w:rFonts w:eastAsia="仿宋_GB2312"/>
          <w:bCs/>
          <w:sz w:val="28"/>
          <w:szCs w:val="28"/>
          <w:lang w:val="en-US"/>
        </w:rPr>
        <w:t xml:space="preserve">funds investing </w:t>
      </w:r>
      <w:r w:rsidR="002B7D43">
        <w:rPr>
          <w:rFonts w:eastAsia="仿宋_GB2312"/>
          <w:bCs/>
          <w:sz w:val="28"/>
          <w:szCs w:val="28"/>
          <w:lang w:val="en-US"/>
        </w:rPr>
        <w:t>in non-</w:t>
      </w:r>
      <w:r w:rsidR="000F78DF">
        <w:rPr>
          <w:rFonts w:eastAsia="仿宋_GB2312"/>
          <w:bCs/>
          <w:sz w:val="28"/>
          <w:szCs w:val="28"/>
          <w:lang w:val="en-US"/>
        </w:rPr>
        <w:t>public</w:t>
      </w:r>
      <w:r w:rsidR="002B7D43">
        <w:rPr>
          <w:rFonts w:eastAsia="仿宋_GB2312"/>
          <w:bCs/>
          <w:sz w:val="28"/>
          <w:szCs w:val="28"/>
          <w:lang w:val="en-US"/>
        </w:rPr>
        <w:t xml:space="preserve"> </w:t>
      </w:r>
      <w:r w:rsidR="000F78DF">
        <w:rPr>
          <w:rFonts w:eastAsia="仿宋_GB2312"/>
          <w:bCs/>
          <w:sz w:val="28"/>
          <w:szCs w:val="28"/>
          <w:lang w:val="en-US"/>
        </w:rPr>
        <w:t xml:space="preserve">entities </w:t>
      </w:r>
      <w:r w:rsidR="002B7D43">
        <w:rPr>
          <w:rFonts w:eastAsia="仿宋_GB2312"/>
          <w:bCs/>
          <w:sz w:val="28"/>
          <w:szCs w:val="28"/>
          <w:lang w:val="en-US"/>
        </w:rPr>
        <w:t xml:space="preserve">as well as funds investing in public </w:t>
      </w:r>
      <w:r w:rsidR="008173E2">
        <w:rPr>
          <w:rFonts w:eastAsia="仿宋_GB2312"/>
          <w:bCs/>
          <w:sz w:val="28"/>
          <w:szCs w:val="28"/>
          <w:lang w:val="en-US"/>
        </w:rPr>
        <w:t>market equities</w:t>
      </w:r>
      <w:r w:rsidR="00301393" w:rsidRPr="00301393">
        <w:rPr>
          <w:rFonts w:eastAsia="仿宋_GB2312"/>
          <w:bCs/>
          <w:sz w:val="28"/>
          <w:szCs w:val="28"/>
          <w:lang w:val="en-US"/>
        </w:rPr>
        <w:t>, down 17% from 1</w:t>
      </w:r>
      <w:r w:rsidR="001636AA">
        <w:rPr>
          <w:rFonts w:eastAsia="仿宋_GB2312"/>
          <w:bCs/>
          <w:sz w:val="28"/>
          <w:szCs w:val="28"/>
          <w:lang w:val="en-US"/>
        </w:rPr>
        <w:t>,</w:t>
      </w:r>
      <w:r w:rsidR="00301393" w:rsidRPr="00301393">
        <w:rPr>
          <w:rFonts w:eastAsia="仿宋_GB2312"/>
          <w:bCs/>
          <w:sz w:val="28"/>
          <w:szCs w:val="28"/>
          <w:lang w:val="en-US"/>
        </w:rPr>
        <w:t xml:space="preserve">974 in the first three quarters of 2017, and raised funds of RMB 463.9 billion, compared with </w:t>
      </w:r>
      <w:r w:rsidR="00277667">
        <w:rPr>
          <w:rFonts w:eastAsia="仿宋_GB2312"/>
          <w:bCs/>
          <w:sz w:val="28"/>
          <w:szCs w:val="28"/>
          <w:lang w:val="en-US"/>
        </w:rPr>
        <w:t xml:space="preserve">RMB </w:t>
      </w:r>
      <w:r w:rsidR="00301393" w:rsidRPr="00301393">
        <w:rPr>
          <w:rFonts w:eastAsia="仿宋_GB2312"/>
          <w:bCs/>
          <w:sz w:val="28"/>
          <w:szCs w:val="28"/>
          <w:lang w:val="en-US"/>
        </w:rPr>
        <w:t>10,891</w:t>
      </w:r>
      <w:r w:rsidR="00277667">
        <w:rPr>
          <w:rFonts w:eastAsia="仿宋_GB2312"/>
          <w:bCs/>
          <w:sz w:val="28"/>
          <w:szCs w:val="28"/>
          <w:lang w:val="en-US"/>
        </w:rPr>
        <w:t xml:space="preserve"> billion</w:t>
      </w:r>
      <w:r w:rsidR="00301393" w:rsidRPr="00301393">
        <w:rPr>
          <w:rFonts w:eastAsia="仿宋_GB2312"/>
          <w:bCs/>
          <w:sz w:val="28"/>
          <w:szCs w:val="28"/>
          <w:lang w:val="en-US"/>
        </w:rPr>
        <w:t xml:space="preserve"> i</w:t>
      </w:r>
      <w:r w:rsidR="00277667">
        <w:rPr>
          <w:rFonts w:eastAsia="仿宋_GB2312"/>
          <w:bCs/>
          <w:sz w:val="28"/>
          <w:szCs w:val="28"/>
          <w:lang w:val="en-US"/>
        </w:rPr>
        <w:t>n the same period of 2017, result</w:t>
      </w:r>
      <w:r w:rsidR="005949DE">
        <w:rPr>
          <w:rFonts w:eastAsia="仿宋_GB2312"/>
          <w:bCs/>
          <w:sz w:val="28"/>
          <w:szCs w:val="28"/>
          <w:lang w:val="en-US"/>
        </w:rPr>
        <w:t>ing</w:t>
      </w:r>
      <w:r w:rsidR="00277667">
        <w:rPr>
          <w:rFonts w:eastAsia="仿宋_GB2312"/>
          <w:bCs/>
          <w:sz w:val="28"/>
          <w:szCs w:val="28"/>
          <w:lang w:val="en-US"/>
        </w:rPr>
        <w:t xml:space="preserve"> in a drop </w:t>
      </w:r>
      <w:r w:rsidR="000F78DF">
        <w:rPr>
          <w:rFonts w:eastAsia="仿宋_GB2312"/>
          <w:bCs/>
          <w:sz w:val="28"/>
          <w:szCs w:val="28"/>
          <w:lang w:val="en-US"/>
        </w:rPr>
        <w:t xml:space="preserve">in total amount raised </w:t>
      </w:r>
      <w:r w:rsidR="00277667">
        <w:rPr>
          <w:rFonts w:eastAsia="仿宋_GB2312"/>
          <w:bCs/>
          <w:sz w:val="28"/>
          <w:szCs w:val="28"/>
          <w:lang w:val="en-US"/>
        </w:rPr>
        <w:t xml:space="preserve">of </w:t>
      </w:r>
      <w:r w:rsidR="001636AA">
        <w:rPr>
          <w:rFonts w:eastAsia="仿宋_GB2312"/>
          <w:bCs/>
          <w:sz w:val="28"/>
          <w:szCs w:val="28"/>
          <w:lang w:val="en-US"/>
        </w:rPr>
        <w:t>57.4%.</w:t>
      </w:r>
    </w:p>
    <w:p w14:paraId="79BB84D7" w14:textId="7184F6C0" w:rsidR="00301393" w:rsidRDefault="008C4723" w:rsidP="009A2AEF">
      <w:pPr>
        <w:spacing w:line="360" w:lineRule="auto"/>
        <w:jc w:val="both"/>
        <w:rPr>
          <w:rFonts w:eastAsia="仿宋_GB2312"/>
          <w:bCs/>
          <w:sz w:val="28"/>
          <w:szCs w:val="28"/>
          <w:lang w:val="en-US"/>
        </w:rPr>
      </w:pPr>
      <w:r>
        <w:rPr>
          <w:rFonts w:eastAsia="仿宋_GB2312"/>
          <w:bCs/>
          <w:sz w:val="28"/>
          <w:szCs w:val="28"/>
          <w:lang w:val="en-US"/>
        </w:rPr>
        <w:t>F</w:t>
      </w:r>
      <w:r w:rsidR="00146478">
        <w:rPr>
          <w:rFonts w:eastAsia="仿宋_GB2312"/>
          <w:bCs/>
          <w:sz w:val="28"/>
          <w:szCs w:val="28"/>
          <w:lang w:val="en-US"/>
        </w:rPr>
        <w:t xml:space="preserve">or a variety of reasons including the aforementioned </w:t>
      </w:r>
      <w:r w:rsidR="00E84D74">
        <w:rPr>
          <w:rFonts w:eastAsia="仿宋_GB2312"/>
          <w:bCs/>
          <w:sz w:val="28"/>
          <w:szCs w:val="28"/>
          <w:lang w:val="en-US"/>
        </w:rPr>
        <w:t xml:space="preserve">2018 </w:t>
      </w:r>
      <w:r w:rsidR="00067C19">
        <w:rPr>
          <w:rFonts w:eastAsia="仿宋_GB2312"/>
          <w:bCs/>
          <w:sz w:val="28"/>
          <w:szCs w:val="28"/>
          <w:lang w:val="en-US"/>
        </w:rPr>
        <w:t>Asset Management Regulations as well</w:t>
      </w:r>
      <w:r w:rsidR="00067C19" w:rsidRPr="00301393">
        <w:rPr>
          <w:rFonts w:eastAsia="仿宋_GB2312"/>
          <w:bCs/>
          <w:sz w:val="28"/>
          <w:szCs w:val="28"/>
          <w:lang w:val="en-US"/>
        </w:rPr>
        <w:t xml:space="preserve"> </w:t>
      </w:r>
      <w:r w:rsidR="00067C19">
        <w:rPr>
          <w:rFonts w:eastAsia="仿宋_GB2312"/>
          <w:bCs/>
          <w:sz w:val="28"/>
          <w:szCs w:val="28"/>
          <w:lang w:val="en-US"/>
        </w:rPr>
        <w:t>as the</w:t>
      </w:r>
      <w:r w:rsidR="00301393" w:rsidRPr="00301393">
        <w:rPr>
          <w:rFonts w:eastAsia="仿宋_GB2312"/>
          <w:bCs/>
          <w:sz w:val="28"/>
          <w:szCs w:val="28"/>
          <w:lang w:val="en-US"/>
        </w:rPr>
        <w:t xml:space="preserve"> </w:t>
      </w:r>
      <w:r w:rsidR="00067C19">
        <w:rPr>
          <w:rFonts w:eastAsia="仿宋_GB2312"/>
          <w:bCs/>
          <w:sz w:val="28"/>
          <w:szCs w:val="28"/>
          <w:lang w:val="en-US"/>
        </w:rPr>
        <w:t xml:space="preserve">continued </w:t>
      </w:r>
      <w:r w:rsidR="00301393" w:rsidRPr="00301393">
        <w:rPr>
          <w:rFonts w:eastAsia="仿宋_GB2312"/>
          <w:bCs/>
          <w:sz w:val="28"/>
          <w:szCs w:val="28"/>
          <w:lang w:val="en-US"/>
        </w:rPr>
        <w:t xml:space="preserve">difficulty </w:t>
      </w:r>
      <w:r w:rsidR="00067C19">
        <w:rPr>
          <w:rFonts w:eastAsia="仿宋_GB2312"/>
          <w:bCs/>
          <w:sz w:val="28"/>
          <w:szCs w:val="28"/>
          <w:lang w:val="en-US"/>
        </w:rPr>
        <w:t xml:space="preserve">of </w:t>
      </w:r>
      <w:r w:rsidR="00AC1591">
        <w:rPr>
          <w:rFonts w:eastAsia="仿宋_GB2312"/>
          <w:bCs/>
          <w:sz w:val="28"/>
          <w:szCs w:val="28"/>
          <w:lang w:val="en-US"/>
        </w:rPr>
        <w:t>obtaining</w:t>
      </w:r>
      <w:r w:rsidR="00301393" w:rsidRPr="00301393">
        <w:rPr>
          <w:rFonts w:eastAsia="仿宋_GB2312"/>
          <w:bCs/>
          <w:sz w:val="28"/>
          <w:szCs w:val="28"/>
          <w:lang w:val="en-US"/>
        </w:rPr>
        <w:t xml:space="preserve"> domestic and foreign </w:t>
      </w:r>
      <w:r w:rsidR="00AF1921">
        <w:rPr>
          <w:rFonts w:eastAsia="仿宋_GB2312"/>
          <w:bCs/>
          <w:sz w:val="28"/>
          <w:szCs w:val="28"/>
          <w:lang w:val="en-US"/>
        </w:rPr>
        <w:t xml:space="preserve">regulatory </w:t>
      </w:r>
      <w:r w:rsidR="00301393" w:rsidRPr="00301393">
        <w:rPr>
          <w:rFonts w:eastAsia="仿宋_GB2312"/>
          <w:bCs/>
          <w:sz w:val="28"/>
          <w:szCs w:val="28"/>
          <w:lang w:val="en-US"/>
        </w:rPr>
        <w:t>approval</w:t>
      </w:r>
      <w:r w:rsidR="00AF1921">
        <w:rPr>
          <w:rFonts w:eastAsia="仿宋_GB2312"/>
          <w:bCs/>
          <w:sz w:val="28"/>
          <w:szCs w:val="28"/>
          <w:lang w:val="en-US"/>
        </w:rPr>
        <w:t>s</w:t>
      </w:r>
      <w:r w:rsidR="00301393" w:rsidRPr="00301393">
        <w:rPr>
          <w:rFonts w:eastAsia="仿宋_GB2312"/>
          <w:bCs/>
          <w:sz w:val="28"/>
          <w:szCs w:val="28"/>
          <w:lang w:val="en-US"/>
        </w:rPr>
        <w:t>,</w:t>
      </w:r>
      <w:r w:rsidR="000259A6">
        <w:rPr>
          <w:rFonts w:eastAsia="仿宋_GB2312"/>
          <w:bCs/>
          <w:sz w:val="28"/>
          <w:szCs w:val="28"/>
          <w:lang w:val="en-US"/>
        </w:rPr>
        <w:t xml:space="preserve"> we are seeing a significant decline of overseas investments by PRC companies, in both number of </w:t>
      </w:r>
      <w:r w:rsidR="000259A6">
        <w:rPr>
          <w:rFonts w:eastAsia="仿宋_GB2312"/>
          <w:bCs/>
          <w:sz w:val="28"/>
          <w:szCs w:val="28"/>
          <w:lang w:val="en-US"/>
        </w:rPr>
        <w:lastRenderedPageBreak/>
        <w:t xml:space="preserve">transactions and </w:t>
      </w:r>
      <w:r w:rsidR="00301393" w:rsidRPr="00301393">
        <w:rPr>
          <w:rFonts w:eastAsia="仿宋_GB2312"/>
          <w:bCs/>
          <w:sz w:val="28"/>
          <w:szCs w:val="28"/>
          <w:lang w:val="en-US"/>
        </w:rPr>
        <w:t>amount</w:t>
      </w:r>
      <w:r w:rsidR="000259A6">
        <w:rPr>
          <w:rFonts w:eastAsia="仿宋_GB2312"/>
          <w:bCs/>
          <w:sz w:val="28"/>
          <w:szCs w:val="28"/>
          <w:lang w:val="en-US"/>
        </w:rPr>
        <w:t xml:space="preserve"> invested</w:t>
      </w:r>
      <w:r w:rsidR="00301393" w:rsidRPr="00301393">
        <w:rPr>
          <w:rFonts w:eastAsia="仿宋_GB2312"/>
          <w:bCs/>
          <w:sz w:val="28"/>
          <w:szCs w:val="28"/>
          <w:lang w:val="en-US"/>
        </w:rPr>
        <w:t xml:space="preserve">. In the case of state-owned enterprises, </w:t>
      </w:r>
      <w:r w:rsidR="00EE444D">
        <w:rPr>
          <w:rFonts w:eastAsia="仿宋_GB2312"/>
          <w:bCs/>
          <w:sz w:val="28"/>
          <w:szCs w:val="28"/>
          <w:lang w:val="en-US"/>
        </w:rPr>
        <w:t xml:space="preserve">leaders in the </w:t>
      </w:r>
      <w:r w:rsidR="00301393" w:rsidRPr="00301393">
        <w:rPr>
          <w:rFonts w:eastAsia="仿宋_GB2312"/>
          <w:bCs/>
          <w:sz w:val="28"/>
          <w:szCs w:val="28"/>
          <w:lang w:val="en-US"/>
        </w:rPr>
        <w:t xml:space="preserve">state-owned enterprises </w:t>
      </w:r>
      <w:r w:rsidR="000259A6">
        <w:rPr>
          <w:rFonts w:eastAsia="仿宋_GB2312"/>
          <w:bCs/>
          <w:sz w:val="28"/>
          <w:szCs w:val="28"/>
          <w:lang w:val="en-US"/>
        </w:rPr>
        <w:t xml:space="preserve">are reluctant to </w:t>
      </w:r>
      <w:r w:rsidR="00534626">
        <w:rPr>
          <w:rFonts w:eastAsia="仿宋_GB2312"/>
          <w:bCs/>
          <w:sz w:val="28"/>
          <w:szCs w:val="28"/>
          <w:lang w:val="en-US"/>
        </w:rPr>
        <w:t>engage in</w:t>
      </w:r>
      <w:r w:rsidR="000259A6" w:rsidRPr="00301393">
        <w:rPr>
          <w:rFonts w:eastAsia="仿宋_GB2312"/>
          <w:bCs/>
          <w:sz w:val="28"/>
          <w:szCs w:val="28"/>
          <w:lang w:val="en-US"/>
        </w:rPr>
        <w:t xml:space="preserve"> </w:t>
      </w:r>
      <w:r w:rsidR="000259A6">
        <w:rPr>
          <w:rFonts w:eastAsia="仿宋_GB2312"/>
          <w:bCs/>
          <w:sz w:val="28"/>
          <w:szCs w:val="28"/>
          <w:lang w:val="en-US"/>
        </w:rPr>
        <w:t xml:space="preserve">overseas investments </w:t>
      </w:r>
      <w:r w:rsidR="00534626">
        <w:rPr>
          <w:rFonts w:eastAsia="仿宋_GB2312"/>
          <w:bCs/>
          <w:sz w:val="28"/>
          <w:szCs w:val="28"/>
          <w:lang w:val="en-US"/>
        </w:rPr>
        <w:t xml:space="preserve">as they would be held </w:t>
      </w:r>
      <w:r w:rsidR="00534626" w:rsidRPr="00F93E87">
        <w:rPr>
          <w:rFonts w:eastAsia="仿宋_GB2312"/>
          <w:bCs/>
          <w:sz w:val="28"/>
          <w:szCs w:val="28"/>
          <w:lang w:val="en-US"/>
        </w:rPr>
        <w:t>personally</w:t>
      </w:r>
      <w:r w:rsidR="00534626">
        <w:rPr>
          <w:rFonts w:eastAsia="仿宋_GB2312"/>
          <w:bCs/>
          <w:sz w:val="28"/>
          <w:szCs w:val="28"/>
          <w:lang w:val="en-US"/>
        </w:rPr>
        <w:t xml:space="preserve"> accountable for their decisions </w:t>
      </w:r>
      <w:r w:rsidR="000259A6">
        <w:rPr>
          <w:rFonts w:eastAsia="仿宋_GB2312"/>
          <w:bCs/>
          <w:sz w:val="28"/>
          <w:szCs w:val="28"/>
          <w:lang w:val="en-US"/>
        </w:rPr>
        <w:t>due to the</w:t>
      </w:r>
      <w:r w:rsidR="00534626">
        <w:rPr>
          <w:rFonts w:eastAsia="仿宋_GB2312"/>
          <w:bCs/>
          <w:sz w:val="28"/>
          <w:szCs w:val="28"/>
          <w:lang w:val="en-US"/>
        </w:rPr>
        <w:t xml:space="preserve"> government’s</w:t>
      </w:r>
      <w:r w:rsidR="000259A6">
        <w:rPr>
          <w:rFonts w:eastAsia="仿宋_GB2312"/>
          <w:bCs/>
          <w:sz w:val="28"/>
          <w:szCs w:val="28"/>
          <w:lang w:val="en-US"/>
        </w:rPr>
        <w:t xml:space="preserve"> “lifetime accountability” rule</w:t>
      </w:r>
      <w:r w:rsidR="00301393" w:rsidRPr="00301393">
        <w:rPr>
          <w:rFonts w:eastAsia="仿宋_GB2312"/>
          <w:bCs/>
          <w:sz w:val="28"/>
          <w:szCs w:val="28"/>
          <w:lang w:val="en-US"/>
        </w:rPr>
        <w:t xml:space="preserve">; in the case of private enterprises, the </w:t>
      </w:r>
      <w:r w:rsidR="00EE444D">
        <w:rPr>
          <w:rFonts w:eastAsia="仿宋_GB2312"/>
          <w:bCs/>
          <w:sz w:val="28"/>
          <w:szCs w:val="28"/>
          <w:lang w:val="en-US"/>
        </w:rPr>
        <w:t>central government</w:t>
      </w:r>
      <w:r w:rsidR="00301393" w:rsidRPr="00301393">
        <w:rPr>
          <w:rFonts w:eastAsia="仿宋_GB2312"/>
          <w:bCs/>
          <w:sz w:val="28"/>
          <w:szCs w:val="28"/>
          <w:lang w:val="en-US"/>
        </w:rPr>
        <w:t xml:space="preserve"> is more cautious in preventing excessive foreign exchange outflows, especially f</w:t>
      </w:r>
      <w:r w:rsidR="00F5703A">
        <w:rPr>
          <w:rFonts w:eastAsia="仿宋_GB2312"/>
          <w:bCs/>
          <w:sz w:val="28"/>
          <w:szCs w:val="28"/>
          <w:lang w:val="en-US"/>
        </w:rPr>
        <w:t>rom</w:t>
      </w:r>
      <w:r w:rsidR="00EE444D">
        <w:rPr>
          <w:rFonts w:eastAsia="仿宋_GB2312"/>
          <w:bCs/>
          <w:sz w:val="28"/>
          <w:szCs w:val="28"/>
          <w:lang w:val="en-US"/>
        </w:rPr>
        <w:t xml:space="preserve"> private enterprises. The China</w:t>
      </w:r>
      <w:r w:rsidR="00301393" w:rsidRPr="00301393">
        <w:rPr>
          <w:rFonts w:eastAsia="仿宋_GB2312"/>
          <w:bCs/>
          <w:sz w:val="28"/>
          <w:szCs w:val="28"/>
          <w:lang w:val="en-US"/>
        </w:rPr>
        <w:t>-US trade conflict h</w:t>
      </w:r>
      <w:r w:rsidR="00F5703A">
        <w:rPr>
          <w:rFonts w:eastAsia="仿宋_GB2312"/>
          <w:bCs/>
          <w:sz w:val="28"/>
          <w:szCs w:val="28"/>
          <w:lang w:val="en-US"/>
        </w:rPr>
        <w:t>as caused the United States and European countries</w:t>
      </w:r>
      <w:r w:rsidR="00CB530A">
        <w:rPr>
          <w:rFonts w:eastAsia="仿宋_GB2312"/>
          <w:bCs/>
          <w:sz w:val="28"/>
          <w:szCs w:val="28"/>
          <w:lang w:val="en-US"/>
        </w:rPr>
        <w:t xml:space="preserve"> </w:t>
      </w:r>
      <w:r w:rsidR="00EE444D">
        <w:rPr>
          <w:rFonts w:eastAsia="仿宋_GB2312"/>
          <w:bCs/>
          <w:sz w:val="28"/>
          <w:szCs w:val="28"/>
          <w:lang w:val="en-US"/>
        </w:rPr>
        <w:t xml:space="preserve">to strictly restrict China from investing and making </w:t>
      </w:r>
      <w:r w:rsidR="00301393" w:rsidRPr="00301393">
        <w:rPr>
          <w:rFonts w:eastAsia="仿宋_GB2312"/>
          <w:bCs/>
          <w:sz w:val="28"/>
          <w:szCs w:val="28"/>
          <w:lang w:val="en-US"/>
        </w:rPr>
        <w:t>mergers and acquisitions of high-tech and advanced manufacturing</w:t>
      </w:r>
      <w:r w:rsidR="00CB530A">
        <w:rPr>
          <w:rFonts w:eastAsia="仿宋_GB2312"/>
          <w:bCs/>
          <w:sz w:val="28"/>
          <w:szCs w:val="28"/>
          <w:lang w:val="en-US"/>
        </w:rPr>
        <w:t xml:space="preserve"> companies. </w:t>
      </w:r>
      <w:r w:rsidR="00502240">
        <w:rPr>
          <w:rFonts w:eastAsia="仿宋_GB2312"/>
          <w:bCs/>
          <w:sz w:val="28"/>
          <w:szCs w:val="28"/>
          <w:lang w:val="en-US"/>
        </w:rPr>
        <w:t xml:space="preserve">Macro uncertainties, regulatory </w:t>
      </w:r>
      <w:r w:rsidR="00067C19">
        <w:rPr>
          <w:rFonts w:eastAsia="仿宋_GB2312"/>
          <w:bCs/>
          <w:sz w:val="28"/>
          <w:szCs w:val="28"/>
          <w:lang w:val="en-US"/>
        </w:rPr>
        <w:t>uncertainties</w:t>
      </w:r>
      <w:r w:rsidR="00502240">
        <w:rPr>
          <w:rFonts w:eastAsia="仿宋_GB2312"/>
          <w:bCs/>
          <w:sz w:val="28"/>
          <w:szCs w:val="28"/>
          <w:lang w:val="en-US"/>
        </w:rPr>
        <w:t>, compounded</w:t>
      </w:r>
      <w:r w:rsidR="00502240" w:rsidRPr="00301393">
        <w:rPr>
          <w:rFonts w:eastAsia="仿宋_GB2312"/>
          <w:bCs/>
          <w:sz w:val="28"/>
          <w:szCs w:val="28"/>
          <w:lang w:val="en-US"/>
        </w:rPr>
        <w:t xml:space="preserve"> </w:t>
      </w:r>
      <w:r w:rsidR="00301393" w:rsidRPr="00301393">
        <w:rPr>
          <w:rFonts w:eastAsia="仿宋_GB2312"/>
          <w:bCs/>
          <w:sz w:val="28"/>
          <w:szCs w:val="28"/>
          <w:lang w:val="en-US"/>
        </w:rPr>
        <w:t>with the decline in domestic stock markets</w:t>
      </w:r>
      <w:r w:rsidR="00502240">
        <w:rPr>
          <w:rFonts w:eastAsia="仿宋_GB2312"/>
          <w:bCs/>
          <w:sz w:val="28"/>
          <w:szCs w:val="28"/>
          <w:lang w:val="en-US"/>
        </w:rPr>
        <w:t xml:space="preserve"> and general lack of funding</w:t>
      </w:r>
      <w:r w:rsidR="00301393" w:rsidRPr="00301393">
        <w:rPr>
          <w:rFonts w:eastAsia="仿宋_GB2312"/>
          <w:bCs/>
          <w:sz w:val="28"/>
          <w:szCs w:val="28"/>
          <w:lang w:val="en-US"/>
        </w:rPr>
        <w:t xml:space="preserve">, the </w:t>
      </w:r>
      <w:r w:rsidR="00502240">
        <w:rPr>
          <w:rFonts w:eastAsia="仿宋_GB2312"/>
          <w:bCs/>
          <w:sz w:val="28"/>
          <w:szCs w:val="28"/>
          <w:lang w:val="en-US"/>
        </w:rPr>
        <w:t>opportunity of valuation arbitraging</w:t>
      </w:r>
      <w:r w:rsidR="00502240" w:rsidRPr="00301393">
        <w:rPr>
          <w:rFonts w:eastAsia="仿宋_GB2312"/>
          <w:bCs/>
          <w:sz w:val="28"/>
          <w:szCs w:val="28"/>
          <w:lang w:val="en-US"/>
        </w:rPr>
        <w:t xml:space="preserve"> </w:t>
      </w:r>
      <w:r w:rsidR="00301393" w:rsidRPr="00301393">
        <w:rPr>
          <w:rFonts w:eastAsia="仿宋_GB2312"/>
          <w:bCs/>
          <w:sz w:val="28"/>
          <w:szCs w:val="28"/>
          <w:lang w:val="en-US"/>
        </w:rPr>
        <w:t xml:space="preserve">has narrowed or disappeared. </w:t>
      </w:r>
      <w:r w:rsidR="00EE444D" w:rsidRPr="00301393">
        <w:rPr>
          <w:rFonts w:eastAsia="仿宋_GB2312"/>
          <w:bCs/>
          <w:sz w:val="28"/>
          <w:szCs w:val="28"/>
          <w:lang w:val="en-US"/>
        </w:rPr>
        <w:t>Zero2IPO's</w:t>
      </w:r>
      <w:r w:rsidR="00301393" w:rsidRPr="00301393">
        <w:rPr>
          <w:rFonts w:eastAsia="仿宋_GB2312"/>
          <w:bCs/>
          <w:sz w:val="28"/>
          <w:szCs w:val="28"/>
          <w:lang w:val="en-US"/>
        </w:rPr>
        <w:t xml:space="preserve"> Private Equity </w:t>
      </w:r>
      <w:r w:rsidR="00EE444D">
        <w:rPr>
          <w:rFonts w:eastAsia="仿宋_GB2312"/>
          <w:bCs/>
          <w:sz w:val="28"/>
          <w:szCs w:val="28"/>
          <w:lang w:val="en-US"/>
        </w:rPr>
        <w:t xml:space="preserve">Research </w:t>
      </w:r>
      <w:r w:rsidR="00CB530A">
        <w:rPr>
          <w:rFonts w:eastAsia="仿宋_GB2312"/>
          <w:bCs/>
          <w:sz w:val="28"/>
          <w:szCs w:val="28"/>
          <w:lang w:val="en-US"/>
        </w:rPr>
        <w:t>shows that, i</w:t>
      </w:r>
      <w:r w:rsidR="00301393" w:rsidRPr="00301393">
        <w:rPr>
          <w:rFonts w:eastAsia="仿宋_GB2312"/>
          <w:bCs/>
          <w:sz w:val="28"/>
          <w:szCs w:val="28"/>
          <w:lang w:val="en-US"/>
        </w:rPr>
        <w:t xml:space="preserve">n 2017, there were 205 cross-border M&amp;A </w:t>
      </w:r>
      <w:r w:rsidR="00502240">
        <w:rPr>
          <w:rFonts w:eastAsia="仿宋_GB2312"/>
          <w:bCs/>
          <w:sz w:val="28"/>
          <w:szCs w:val="28"/>
          <w:lang w:val="en-US"/>
        </w:rPr>
        <w:t>transactions</w:t>
      </w:r>
      <w:r w:rsidR="00502240" w:rsidRPr="00301393">
        <w:rPr>
          <w:rFonts w:eastAsia="仿宋_GB2312"/>
          <w:bCs/>
          <w:sz w:val="28"/>
          <w:szCs w:val="28"/>
          <w:lang w:val="en-US"/>
        </w:rPr>
        <w:t xml:space="preserve"> </w:t>
      </w:r>
      <w:r w:rsidR="00502240">
        <w:rPr>
          <w:rFonts w:eastAsia="仿宋_GB2312"/>
          <w:bCs/>
          <w:sz w:val="28"/>
          <w:szCs w:val="28"/>
          <w:lang w:val="en-US"/>
        </w:rPr>
        <w:t>by</w:t>
      </w:r>
      <w:r w:rsidR="00502240" w:rsidRPr="00301393">
        <w:rPr>
          <w:rFonts w:eastAsia="仿宋_GB2312"/>
          <w:bCs/>
          <w:sz w:val="28"/>
          <w:szCs w:val="28"/>
          <w:lang w:val="en-US"/>
        </w:rPr>
        <w:t xml:space="preserve"> </w:t>
      </w:r>
      <w:r w:rsidR="00301393" w:rsidRPr="00301393">
        <w:rPr>
          <w:rFonts w:eastAsia="仿宋_GB2312"/>
          <w:bCs/>
          <w:sz w:val="28"/>
          <w:szCs w:val="28"/>
          <w:lang w:val="en-US"/>
        </w:rPr>
        <w:t>Chin</w:t>
      </w:r>
      <w:r w:rsidR="00502240">
        <w:rPr>
          <w:rFonts w:eastAsia="仿宋_GB2312"/>
          <w:bCs/>
          <w:sz w:val="28"/>
          <w:szCs w:val="28"/>
          <w:lang w:val="en-US"/>
        </w:rPr>
        <w:t>ese companies</w:t>
      </w:r>
      <w:r w:rsidR="00301393" w:rsidRPr="00301393">
        <w:rPr>
          <w:rFonts w:eastAsia="仿宋_GB2312"/>
          <w:bCs/>
          <w:sz w:val="28"/>
          <w:szCs w:val="28"/>
          <w:lang w:val="en-US"/>
        </w:rPr>
        <w:t xml:space="preserve">, </w:t>
      </w:r>
      <w:r w:rsidR="00502240">
        <w:rPr>
          <w:rFonts w:eastAsia="仿宋_GB2312"/>
          <w:bCs/>
          <w:sz w:val="28"/>
          <w:szCs w:val="28"/>
          <w:lang w:val="en-US"/>
        </w:rPr>
        <w:t>with a total</w:t>
      </w:r>
      <w:r w:rsidR="00CB530A">
        <w:rPr>
          <w:rFonts w:eastAsia="仿宋_GB2312"/>
          <w:bCs/>
          <w:sz w:val="28"/>
          <w:szCs w:val="28"/>
          <w:lang w:val="en-US"/>
        </w:rPr>
        <w:t xml:space="preserve"> transaction amount of </w:t>
      </w:r>
      <w:r w:rsidR="00046563">
        <w:rPr>
          <w:rFonts w:eastAsia="仿宋_GB2312"/>
          <w:bCs/>
          <w:sz w:val="28"/>
          <w:szCs w:val="28"/>
          <w:lang w:val="en-US"/>
        </w:rPr>
        <w:t>RMB 642.3 billion</w:t>
      </w:r>
      <w:r w:rsidR="00A43F49">
        <w:rPr>
          <w:rFonts w:eastAsia="仿宋_GB2312"/>
          <w:bCs/>
          <w:sz w:val="28"/>
          <w:szCs w:val="28"/>
          <w:lang w:val="en-US"/>
        </w:rPr>
        <w:t>, of which RMB577 billion was achieved in the first three quarters</w:t>
      </w:r>
      <w:r w:rsidR="00502240">
        <w:rPr>
          <w:rFonts w:eastAsia="仿宋_GB2312"/>
          <w:bCs/>
          <w:sz w:val="28"/>
          <w:szCs w:val="28"/>
          <w:lang w:val="en-US"/>
        </w:rPr>
        <w:t>, compare this numbers to</w:t>
      </w:r>
      <w:r w:rsidR="00301393" w:rsidRPr="00301393">
        <w:rPr>
          <w:rFonts w:eastAsia="仿宋_GB2312"/>
          <w:bCs/>
          <w:sz w:val="28"/>
          <w:szCs w:val="28"/>
          <w:lang w:val="en-US"/>
        </w:rPr>
        <w:t xml:space="preserve"> </w:t>
      </w:r>
      <w:r w:rsidR="00046563">
        <w:rPr>
          <w:rFonts w:eastAsia="仿宋_GB2312"/>
          <w:bCs/>
          <w:sz w:val="28"/>
          <w:szCs w:val="28"/>
          <w:lang w:val="en-US"/>
        </w:rPr>
        <w:t xml:space="preserve">RMB </w:t>
      </w:r>
      <w:r w:rsidR="00301393" w:rsidRPr="00301393">
        <w:rPr>
          <w:rFonts w:eastAsia="仿宋_GB2312"/>
          <w:bCs/>
          <w:sz w:val="28"/>
          <w:szCs w:val="28"/>
          <w:lang w:val="en-US"/>
        </w:rPr>
        <w:t>177.4 billion</w:t>
      </w:r>
      <w:r w:rsidR="00502240">
        <w:rPr>
          <w:rFonts w:eastAsia="仿宋_GB2312"/>
          <w:bCs/>
          <w:sz w:val="28"/>
          <w:szCs w:val="28"/>
          <w:lang w:val="en-US"/>
        </w:rPr>
        <w:t xml:space="preserve"> in </w:t>
      </w:r>
      <w:r w:rsidR="00A43F49">
        <w:rPr>
          <w:rFonts w:eastAsia="仿宋_GB2312"/>
          <w:bCs/>
          <w:sz w:val="28"/>
          <w:szCs w:val="28"/>
          <w:lang w:val="en-US"/>
        </w:rPr>
        <w:t>China’s</w:t>
      </w:r>
      <w:r w:rsidR="00502240">
        <w:rPr>
          <w:rFonts w:eastAsia="仿宋_GB2312"/>
          <w:bCs/>
          <w:sz w:val="28"/>
          <w:szCs w:val="28"/>
          <w:lang w:val="en-US"/>
        </w:rPr>
        <w:t xml:space="preserve"> overseas </w:t>
      </w:r>
      <w:r w:rsidR="00A43F49">
        <w:rPr>
          <w:rFonts w:eastAsia="仿宋_GB2312"/>
          <w:bCs/>
          <w:sz w:val="28"/>
          <w:szCs w:val="28"/>
          <w:lang w:val="en-US"/>
        </w:rPr>
        <w:t xml:space="preserve">M&amp;A </w:t>
      </w:r>
      <w:r w:rsidR="00502240">
        <w:rPr>
          <w:rFonts w:eastAsia="仿宋_GB2312"/>
          <w:bCs/>
          <w:sz w:val="28"/>
          <w:szCs w:val="28"/>
          <w:lang w:val="en-US"/>
        </w:rPr>
        <w:t xml:space="preserve">investments </w:t>
      </w:r>
      <w:r w:rsidR="00A43F49">
        <w:rPr>
          <w:rFonts w:eastAsia="仿宋_GB2312"/>
          <w:bCs/>
          <w:sz w:val="28"/>
          <w:szCs w:val="28"/>
          <w:lang w:val="en-US"/>
        </w:rPr>
        <w:t>for</w:t>
      </w:r>
      <w:r w:rsidR="00502240">
        <w:rPr>
          <w:rFonts w:eastAsia="仿宋_GB2312"/>
          <w:bCs/>
          <w:sz w:val="28"/>
          <w:szCs w:val="28"/>
          <w:lang w:val="en-US"/>
        </w:rPr>
        <w:t xml:space="preserve"> the first three quarters of 2018</w:t>
      </w:r>
      <w:r w:rsidR="00301393" w:rsidRPr="00301393">
        <w:rPr>
          <w:rFonts w:eastAsia="仿宋_GB2312"/>
          <w:bCs/>
          <w:sz w:val="28"/>
          <w:szCs w:val="28"/>
          <w:lang w:val="en-US"/>
        </w:rPr>
        <w:t xml:space="preserve">, a sharp drop of 69.3% </w:t>
      </w:r>
      <w:r w:rsidR="00A43F49">
        <w:rPr>
          <w:rFonts w:eastAsia="仿宋_GB2312"/>
          <w:bCs/>
          <w:sz w:val="28"/>
          <w:szCs w:val="28"/>
          <w:lang w:val="en-US"/>
        </w:rPr>
        <w:t>for the same period year on year</w:t>
      </w:r>
      <w:r w:rsidR="00301393" w:rsidRPr="00301393">
        <w:rPr>
          <w:rFonts w:eastAsia="仿宋_GB2312"/>
          <w:bCs/>
          <w:sz w:val="28"/>
          <w:szCs w:val="28"/>
          <w:lang w:val="en-US"/>
        </w:rPr>
        <w:t>.</w:t>
      </w:r>
    </w:p>
    <w:p w14:paraId="1DFCF5C4" w14:textId="4EFFE1AC" w:rsidR="00301393" w:rsidRDefault="00301393" w:rsidP="009A2AEF">
      <w:pPr>
        <w:spacing w:line="360" w:lineRule="auto"/>
        <w:jc w:val="both"/>
        <w:rPr>
          <w:rFonts w:eastAsia="仿宋_GB2312"/>
          <w:bCs/>
          <w:sz w:val="28"/>
          <w:szCs w:val="28"/>
          <w:lang w:val="en-US"/>
        </w:rPr>
      </w:pPr>
      <w:r w:rsidRPr="00301393">
        <w:rPr>
          <w:rFonts w:eastAsia="仿宋_GB2312"/>
          <w:bCs/>
          <w:sz w:val="28"/>
          <w:szCs w:val="28"/>
          <w:lang w:val="en-US"/>
        </w:rPr>
        <w:t>In the domestic investment market, the real economy</w:t>
      </w:r>
      <w:r w:rsidR="00C436CE">
        <w:rPr>
          <w:rFonts w:eastAsia="仿宋_GB2312"/>
          <w:bCs/>
          <w:sz w:val="28"/>
          <w:szCs w:val="28"/>
          <w:lang w:val="en-US"/>
        </w:rPr>
        <w:t xml:space="preserve"> is</w:t>
      </w:r>
      <w:r w:rsidRPr="00301393">
        <w:rPr>
          <w:rFonts w:eastAsia="仿宋_GB2312"/>
          <w:bCs/>
          <w:sz w:val="28"/>
          <w:szCs w:val="28"/>
          <w:lang w:val="en-US"/>
        </w:rPr>
        <w:t xml:space="preserve"> </w:t>
      </w:r>
      <w:r w:rsidR="00C436CE" w:rsidRPr="00301393">
        <w:rPr>
          <w:rFonts w:eastAsia="仿宋_GB2312"/>
          <w:bCs/>
          <w:sz w:val="28"/>
          <w:szCs w:val="28"/>
          <w:lang w:val="en-US"/>
        </w:rPr>
        <w:t>experienc</w:t>
      </w:r>
      <w:r w:rsidR="00C436CE">
        <w:rPr>
          <w:rFonts w:eastAsia="仿宋_GB2312"/>
          <w:bCs/>
          <w:sz w:val="28"/>
          <w:szCs w:val="28"/>
          <w:lang w:val="en-US"/>
        </w:rPr>
        <w:t>ing continued</w:t>
      </w:r>
      <w:r w:rsidRPr="00301393">
        <w:rPr>
          <w:rFonts w:eastAsia="仿宋_GB2312"/>
          <w:bCs/>
          <w:sz w:val="28"/>
          <w:szCs w:val="28"/>
          <w:lang w:val="en-US"/>
        </w:rPr>
        <w:t xml:space="preserve"> decline. In addition to the impact of </w:t>
      </w:r>
      <w:r w:rsidR="002A71E8">
        <w:rPr>
          <w:rFonts w:eastAsia="仿宋_GB2312"/>
          <w:bCs/>
          <w:sz w:val="28"/>
          <w:szCs w:val="28"/>
          <w:lang w:val="en-US"/>
        </w:rPr>
        <w:t>de-</w:t>
      </w:r>
      <w:r w:rsidRPr="00301393">
        <w:rPr>
          <w:rFonts w:eastAsia="仿宋_GB2312"/>
          <w:bCs/>
          <w:sz w:val="28"/>
          <w:szCs w:val="28"/>
          <w:lang w:val="en-US"/>
        </w:rPr>
        <w:t>leverag</w:t>
      </w:r>
      <w:r w:rsidR="00C436CE">
        <w:rPr>
          <w:rFonts w:eastAsia="仿宋_GB2312"/>
          <w:bCs/>
          <w:sz w:val="28"/>
          <w:szCs w:val="28"/>
          <w:lang w:val="en-US"/>
        </w:rPr>
        <w:t>ing initiatives</w:t>
      </w:r>
      <w:r w:rsidRPr="00301393">
        <w:rPr>
          <w:rFonts w:eastAsia="仿宋_GB2312"/>
          <w:bCs/>
          <w:sz w:val="28"/>
          <w:szCs w:val="28"/>
          <w:lang w:val="en-US"/>
        </w:rPr>
        <w:t xml:space="preserve">, the </w:t>
      </w:r>
      <w:r w:rsidR="00D43EDD">
        <w:rPr>
          <w:rFonts w:eastAsia="仿宋_GB2312"/>
          <w:bCs/>
          <w:sz w:val="28"/>
          <w:szCs w:val="28"/>
          <w:lang w:val="en-US"/>
        </w:rPr>
        <w:t>performance of public companies</w:t>
      </w:r>
      <w:r w:rsidRPr="00301393">
        <w:rPr>
          <w:rFonts w:eastAsia="仿宋_GB2312"/>
          <w:bCs/>
          <w:sz w:val="28"/>
          <w:szCs w:val="28"/>
          <w:lang w:val="en-US"/>
        </w:rPr>
        <w:t xml:space="preserve"> </w:t>
      </w:r>
      <w:r w:rsidR="001074F1">
        <w:rPr>
          <w:rFonts w:eastAsia="仿宋_GB2312"/>
          <w:bCs/>
          <w:sz w:val="28"/>
          <w:szCs w:val="28"/>
          <w:lang w:val="en-US"/>
        </w:rPr>
        <w:t xml:space="preserve">including some so-called industry unicorns </w:t>
      </w:r>
      <w:r w:rsidR="00D43EDD">
        <w:rPr>
          <w:rFonts w:eastAsia="仿宋_GB2312"/>
          <w:bCs/>
          <w:sz w:val="28"/>
          <w:szCs w:val="28"/>
          <w:lang w:val="en-US"/>
        </w:rPr>
        <w:t xml:space="preserve">has been so </w:t>
      </w:r>
      <w:r w:rsidR="001074F1">
        <w:rPr>
          <w:rFonts w:eastAsia="仿宋_GB2312"/>
          <w:bCs/>
          <w:sz w:val="28"/>
          <w:szCs w:val="28"/>
          <w:lang w:val="en-US"/>
        </w:rPr>
        <w:t>unpromising</w:t>
      </w:r>
      <w:r w:rsidR="00C436CE">
        <w:rPr>
          <w:rFonts w:eastAsia="仿宋_GB2312"/>
          <w:bCs/>
          <w:sz w:val="28"/>
          <w:szCs w:val="28"/>
          <w:lang w:val="en-US"/>
        </w:rPr>
        <w:t xml:space="preserve"> such that many VC and pre-IPO investor </w:t>
      </w:r>
      <w:r w:rsidR="00C436CE">
        <w:rPr>
          <w:rFonts w:eastAsia="仿宋_GB2312"/>
          <w:bCs/>
          <w:sz w:val="28"/>
          <w:szCs w:val="28"/>
          <w:lang w:val="en-US"/>
        </w:rPr>
        <w:lastRenderedPageBreak/>
        <w:t>are seeing significant losses on their primary market investments even as their portfolio companies become listed</w:t>
      </w:r>
      <w:r w:rsidRPr="00301393">
        <w:rPr>
          <w:rFonts w:eastAsia="仿宋_GB2312"/>
          <w:bCs/>
          <w:sz w:val="28"/>
          <w:szCs w:val="28"/>
          <w:lang w:val="en-US"/>
        </w:rPr>
        <w:t xml:space="preserve">. </w:t>
      </w:r>
      <w:r w:rsidR="00C436CE">
        <w:rPr>
          <w:rFonts w:eastAsia="仿宋_GB2312"/>
          <w:bCs/>
          <w:sz w:val="28"/>
          <w:szCs w:val="28"/>
          <w:lang w:val="en-US"/>
        </w:rPr>
        <w:t xml:space="preserve"> </w:t>
      </w:r>
      <w:r w:rsidRPr="00301393">
        <w:rPr>
          <w:rFonts w:eastAsia="仿宋_GB2312"/>
          <w:bCs/>
          <w:sz w:val="28"/>
          <w:szCs w:val="28"/>
          <w:lang w:val="en-US"/>
        </w:rPr>
        <w:t>Domestic investment</w:t>
      </w:r>
      <w:r w:rsidR="00E94A67">
        <w:rPr>
          <w:rFonts w:eastAsia="仿宋_GB2312"/>
          <w:bCs/>
          <w:sz w:val="28"/>
          <w:szCs w:val="28"/>
          <w:lang w:val="en-US"/>
        </w:rPr>
        <w:t>s are</w:t>
      </w:r>
      <w:r w:rsidRPr="00301393">
        <w:rPr>
          <w:rFonts w:eastAsia="仿宋_GB2312"/>
          <w:bCs/>
          <w:sz w:val="28"/>
          <w:szCs w:val="28"/>
          <w:lang w:val="en-US"/>
        </w:rPr>
        <w:t xml:space="preserve"> mainly concentrated in industry</w:t>
      </w:r>
      <w:r w:rsidR="00CC7FF4">
        <w:rPr>
          <w:rFonts w:eastAsia="仿宋_GB2312"/>
          <w:bCs/>
          <w:sz w:val="28"/>
          <w:szCs w:val="28"/>
          <w:lang w:val="en-US"/>
        </w:rPr>
        <w:t xml:space="preserve"> leaders</w:t>
      </w:r>
      <w:r w:rsidRPr="00301393">
        <w:rPr>
          <w:rFonts w:eastAsia="仿宋_GB2312"/>
          <w:bCs/>
          <w:sz w:val="28"/>
          <w:szCs w:val="28"/>
          <w:lang w:val="en-US"/>
        </w:rPr>
        <w:t xml:space="preserve">, </w:t>
      </w:r>
      <w:r w:rsidR="00D43EDD">
        <w:rPr>
          <w:rFonts w:eastAsia="仿宋_GB2312"/>
          <w:bCs/>
          <w:sz w:val="28"/>
          <w:szCs w:val="28"/>
          <w:lang w:val="en-US"/>
        </w:rPr>
        <w:t>as</w:t>
      </w:r>
      <w:r w:rsidR="00D43EDD" w:rsidRPr="00301393">
        <w:rPr>
          <w:rFonts w:eastAsia="仿宋_GB2312"/>
          <w:bCs/>
          <w:sz w:val="28"/>
          <w:szCs w:val="28"/>
          <w:lang w:val="en-US"/>
        </w:rPr>
        <w:t xml:space="preserve"> </w:t>
      </w:r>
      <w:r w:rsidRPr="00301393">
        <w:rPr>
          <w:rFonts w:eastAsia="仿宋_GB2312"/>
          <w:bCs/>
          <w:sz w:val="28"/>
          <w:szCs w:val="28"/>
          <w:lang w:val="en-US"/>
        </w:rPr>
        <w:t>the valuation</w:t>
      </w:r>
      <w:r w:rsidR="002A71E8">
        <w:rPr>
          <w:rFonts w:eastAsia="仿宋_GB2312"/>
          <w:bCs/>
          <w:sz w:val="28"/>
          <w:szCs w:val="28"/>
          <w:lang w:val="en-US"/>
        </w:rPr>
        <w:t>s</w:t>
      </w:r>
      <w:r w:rsidRPr="00301393">
        <w:rPr>
          <w:rFonts w:eastAsia="仿宋_GB2312"/>
          <w:bCs/>
          <w:sz w:val="28"/>
          <w:szCs w:val="28"/>
          <w:lang w:val="en-US"/>
        </w:rPr>
        <w:t xml:space="preserve"> of </w:t>
      </w:r>
      <w:r w:rsidR="00CC7FF4">
        <w:rPr>
          <w:rFonts w:eastAsia="仿宋_GB2312"/>
          <w:bCs/>
          <w:sz w:val="28"/>
          <w:szCs w:val="28"/>
          <w:lang w:val="en-US"/>
        </w:rPr>
        <w:t xml:space="preserve">those </w:t>
      </w:r>
      <w:r w:rsidR="002A71E8">
        <w:rPr>
          <w:rFonts w:eastAsia="仿宋_GB2312"/>
          <w:bCs/>
          <w:sz w:val="28"/>
          <w:szCs w:val="28"/>
          <w:lang w:val="en-US"/>
        </w:rPr>
        <w:t xml:space="preserve">companies </w:t>
      </w:r>
      <w:r w:rsidR="00D43EDD">
        <w:rPr>
          <w:rFonts w:eastAsia="仿宋_GB2312"/>
          <w:bCs/>
          <w:sz w:val="28"/>
          <w:szCs w:val="28"/>
          <w:lang w:val="en-US"/>
        </w:rPr>
        <w:t>continue to rise, the risks associated with investing in these industry leaders also continue to rise</w:t>
      </w:r>
      <w:r w:rsidRPr="00301393">
        <w:rPr>
          <w:rFonts w:eastAsia="仿宋_GB2312"/>
          <w:bCs/>
          <w:sz w:val="28"/>
          <w:szCs w:val="28"/>
          <w:lang w:val="en-US"/>
        </w:rPr>
        <w:t>.</w:t>
      </w:r>
    </w:p>
    <w:p w14:paraId="1508B657" w14:textId="0879962C" w:rsidR="00301393" w:rsidRDefault="001074F1" w:rsidP="009A2AEF">
      <w:pPr>
        <w:spacing w:line="360" w:lineRule="auto"/>
        <w:jc w:val="both"/>
        <w:rPr>
          <w:rFonts w:eastAsia="仿宋_GB2312"/>
          <w:bCs/>
          <w:sz w:val="28"/>
          <w:szCs w:val="28"/>
          <w:lang w:val="en-US"/>
        </w:rPr>
      </w:pPr>
      <w:r>
        <w:rPr>
          <w:rFonts w:eastAsia="仿宋_GB2312"/>
          <w:bCs/>
          <w:sz w:val="28"/>
          <w:szCs w:val="28"/>
          <w:lang w:val="en-US"/>
        </w:rPr>
        <w:t xml:space="preserve">As </w:t>
      </w:r>
      <w:r w:rsidR="00B05034">
        <w:rPr>
          <w:rFonts w:eastAsia="仿宋_GB2312"/>
          <w:bCs/>
          <w:sz w:val="28"/>
          <w:szCs w:val="28"/>
          <w:lang w:val="en-US"/>
        </w:rPr>
        <w:t xml:space="preserve">the </w:t>
      </w:r>
      <w:r>
        <w:rPr>
          <w:rFonts w:eastAsia="仿宋_GB2312"/>
          <w:bCs/>
          <w:sz w:val="28"/>
          <w:szCs w:val="28"/>
          <w:lang w:val="en-US"/>
        </w:rPr>
        <w:t xml:space="preserve">team </w:t>
      </w:r>
      <w:r w:rsidR="00301393" w:rsidRPr="00301393">
        <w:rPr>
          <w:rFonts w:eastAsia="仿宋_GB2312"/>
          <w:bCs/>
          <w:sz w:val="28"/>
          <w:szCs w:val="28"/>
          <w:lang w:val="en-US"/>
        </w:rPr>
        <w:t>strive</w:t>
      </w:r>
      <w:r w:rsidR="00FE3857">
        <w:rPr>
          <w:rFonts w:eastAsia="仿宋_GB2312"/>
          <w:bCs/>
          <w:sz w:val="28"/>
          <w:szCs w:val="28"/>
          <w:lang w:val="en-US"/>
        </w:rPr>
        <w:t>s to expand the</w:t>
      </w:r>
      <w:r w:rsidR="00301393" w:rsidRPr="00301393">
        <w:rPr>
          <w:rFonts w:eastAsia="仿宋_GB2312"/>
          <w:bCs/>
          <w:sz w:val="28"/>
          <w:szCs w:val="28"/>
          <w:lang w:val="en-US"/>
        </w:rPr>
        <w:t xml:space="preserve"> </w:t>
      </w:r>
      <w:r>
        <w:rPr>
          <w:rFonts w:eastAsia="仿宋_GB2312"/>
          <w:bCs/>
          <w:sz w:val="28"/>
          <w:szCs w:val="28"/>
          <w:lang w:val="en-US"/>
        </w:rPr>
        <w:t xml:space="preserve">Company’s </w:t>
      </w:r>
      <w:r w:rsidR="00301393" w:rsidRPr="00301393">
        <w:rPr>
          <w:rFonts w:eastAsia="仿宋_GB2312"/>
          <w:bCs/>
          <w:sz w:val="28"/>
          <w:szCs w:val="28"/>
          <w:lang w:val="en-US"/>
        </w:rPr>
        <w:t xml:space="preserve">business in both overseas </w:t>
      </w:r>
      <w:bookmarkStart w:id="0" w:name="_GoBack"/>
      <w:bookmarkEnd w:id="0"/>
      <w:r w:rsidR="00301393" w:rsidRPr="00301393">
        <w:rPr>
          <w:rFonts w:eastAsia="仿宋_GB2312"/>
          <w:bCs/>
          <w:sz w:val="28"/>
          <w:szCs w:val="28"/>
          <w:lang w:val="en-US"/>
        </w:rPr>
        <w:t>mergers and acquisitions and domestic investment</w:t>
      </w:r>
      <w:r w:rsidR="00E94A67">
        <w:rPr>
          <w:rFonts w:eastAsia="仿宋_GB2312"/>
          <w:bCs/>
          <w:sz w:val="28"/>
          <w:szCs w:val="28"/>
          <w:lang w:val="en-US"/>
        </w:rPr>
        <w:t>s</w:t>
      </w:r>
      <w:r w:rsidR="00B023B8">
        <w:rPr>
          <w:rFonts w:eastAsia="仿宋_GB2312"/>
          <w:bCs/>
          <w:sz w:val="28"/>
          <w:szCs w:val="28"/>
          <w:lang w:val="en-US"/>
        </w:rPr>
        <w:t xml:space="preserve">, </w:t>
      </w:r>
      <w:r>
        <w:rPr>
          <w:rFonts w:eastAsia="仿宋_GB2312"/>
          <w:bCs/>
          <w:sz w:val="28"/>
          <w:szCs w:val="28"/>
          <w:lang w:val="en-US"/>
        </w:rPr>
        <w:t>we believe the difficulties and challenging market conditions we are seeing this year will continue</w:t>
      </w:r>
      <w:r w:rsidR="00301393" w:rsidRPr="00301393">
        <w:rPr>
          <w:rFonts w:eastAsia="仿宋_GB2312"/>
          <w:bCs/>
          <w:sz w:val="28"/>
          <w:szCs w:val="28"/>
          <w:lang w:val="en-US"/>
        </w:rPr>
        <w:t xml:space="preserve"> </w:t>
      </w:r>
      <w:r>
        <w:rPr>
          <w:rFonts w:eastAsia="仿宋_GB2312"/>
          <w:bCs/>
          <w:sz w:val="28"/>
          <w:szCs w:val="28"/>
          <w:lang w:val="en-US"/>
        </w:rPr>
        <w:t>into the next year</w:t>
      </w:r>
      <w:r w:rsidR="00301393" w:rsidRPr="00301393">
        <w:rPr>
          <w:rFonts w:eastAsia="仿宋_GB2312"/>
          <w:bCs/>
          <w:sz w:val="28"/>
          <w:szCs w:val="28"/>
          <w:lang w:val="en-US"/>
        </w:rPr>
        <w:t xml:space="preserve">. </w:t>
      </w:r>
      <w:r>
        <w:rPr>
          <w:rFonts w:eastAsia="仿宋_GB2312"/>
          <w:bCs/>
          <w:sz w:val="28"/>
          <w:szCs w:val="28"/>
          <w:lang w:val="en-US"/>
        </w:rPr>
        <w:t xml:space="preserve">  Despite the team’s efforts on all fronts, </w:t>
      </w:r>
      <w:r w:rsidR="00301393" w:rsidRPr="00301393">
        <w:rPr>
          <w:rFonts w:eastAsia="仿宋_GB2312"/>
          <w:bCs/>
          <w:sz w:val="28"/>
          <w:szCs w:val="28"/>
          <w:lang w:val="en-US"/>
        </w:rPr>
        <w:t xml:space="preserve">the </w:t>
      </w:r>
      <w:r w:rsidR="00B023B8">
        <w:rPr>
          <w:rFonts w:eastAsia="仿宋_GB2312"/>
          <w:bCs/>
          <w:sz w:val="28"/>
          <w:szCs w:val="28"/>
          <w:lang w:val="en-US"/>
        </w:rPr>
        <w:t>C</w:t>
      </w:r>
      <w:r w:rsidR="00CE4D72">
        <w:rPr>
          <w:rFonts w:eastAsia="仿宋_GB2312"/>
          <w:bCs/>
          <w:sz w:val="28"/>
          <w:szCs w:val="28"/>
          <w:lang w:val="en-US"/>
        </w:rPr>
        <w:t xml:space="preserve">ompany only completed one </w:t>
      </w:r>
      <w:r w:rsidR="00301393" w:rsidRPr="00301393">
        <w:rPr>
          <w:rFonts w:eastAsia="仿宋_GB2312"/>
          <w:bCs/>
          <w:sz w:val="28"/>
          <w:szCs w:val="28"/>
          <w:lang w:val="en-US"/>
        </w:rPr>
        <w:t>ch</w:t>
      </w:r>
      <w:r w:rsidR="00CE4D72">
        <w:rPr>
          <w:rFonts w:eastAsia="仿宋_GB2312"/>
          <w:bCs/>
          <w:sz w:val="28"/>
          <w:szCs w:val="28"/>
          <w:lang w:val="en-US"/>
        </w:rPr>
        <w:t xml:space="preserve">annel </w:t>
      </w:r>
      <w:r>
        <w:rPr>
          <w:rFonts w:eastAsia="仿宋_GB2312"/>
          <w:bCs/>
          <w:sz w:val="28"/>
          <w:szCs w:val="28"/>
          <w:lang w:val="en-US"/>
        </w:rPr>
        <w:t>investment in 2018 of an acquisition of an Australian dairy business – Western Dairy (</w:t>
      </w:r>
      <w:proofErr w:type="spellStart"/>
      <w:r>
        <w:rPr>
          <w:rFonts w:eastAsia="仿宋_GB2312"/>
          <w:bCs/>
          <w:sz w:val="28"/>
          <w:szCs w:val="28"/>
          <w:lang w:val="en-US"/>
        </w:rPr>
        <w:t>Brownes</w:t>
      </w:r>
      <w:proofErr w:type="spellEnd"/>
      <w:r>
        <w:rPr>
          <w:rFonts w:eastAsia="仿宋_GB2312"/>
          <w:bCs/>
          <w:sz w:val="28"/>
          <w:szCs w:val="28"/>
          <w:lang w:val="en-US"/>
        </w:rPr>
        <w:t xml:space="preserve">), generating additional management fees of RMB4,000,000. </w:t>
      </w:r>
      <w:r w:rsidR="00301393" w:rsidRPr="00301393">
        <w:rPr>
          <w:rFonts w:eastAsia="仿宋_GB2312"/>
          <w:bCs/>
          <w:sz w:val="28"/>
          <w:szCs w:val="28"/>
          <w:lang w:val="en-US"/>
        </w:rPr>
        <w:t xml:space="preserve"> </w:t>
      </w:r>
    </w:p>
    <w:p w14:paraId="569815F9" w14:textId="5683E386" w:rsidR="009556E2" w:rsidRPr="006C5163" w:rsidRDefault="009556E2" w:rsidP="009556E2">
      <w:pPr>
        <w:tabs>
          <w:tab w:val="left" w:pos="330"/>
        </w:tabs>
        <w:spacing w:before="220" w:after="220" w:line="360" w:lineRule="auto"/>
        <w:jc w:val="both"/>
        <w:rPr>
          <w:rFonts w:eastAsia="仿宋_GB2312"/>
          <w:b/>
          <w:bCs/>
          <w:sz w:val="28"/>
          <w:szCs w:val="28"/>
          <w:lang w:val="en-US"/>
        </w:rPr>
      </w:pPr>
      <w:r w:rsidRPr="00DD1D71">
        <w:rPr>
          <w:rFonts w:eastAsia="仿宋_GB2312" w:hint="eastAsia"/>
          <w:b/>
          <w:bCs/>
          <w:sz w:val="28"/>
          <w:szCs w:val="28"/>
          <w:lang w:val="en-US"/>
        </w:rPr>
        <w:t xml:space="preserve">I. </w:t>
      </w:r>
      <w:r w:rsidRPr="00DD1D71">
        <w:rPr>
          <w:rFonts w:eastAsia="仿宋_GB2312"/>
          <w:b/>
          <w:bCs/>
          <w:sz w:val="28"/>
          <w:szCs w:val="28"/>
          <w:lang w:val="en-US"/>
        </w:rPr>
        <w:t>Cross-</w:t>
      </w:r>
      <w:r w:rsidR="00791E2F">
        <w:rPr>
          <w:rFonts w:eastAsia="仿宋_GB2312"/>
          <w:b/>
          <w:bCs/>
          <w:sz w:val="28"/>
          <w:szCs w:val="28"/>
          <w:lang w:val="en-US"/>
        </w:rPr>
        <w:t>B</w:t>
      </w:r>
      <w:r w:rsidR="00791E2F" w:rsidRPr="00DD1D71">
        <w:rPr>
          <w:rFonts w:eastAsia="仿宋_GB2312"/>
          <w:b/>
          <w:bCs/>
          <w:sz w:val="28"/>
          <w:szCs w:val="28"/>
          <w:lang w:val="en-US"/>
        </w:rPr>
        <w:t xml:space="preserve">order </w:t>
      </w:r>
      <w:r w:rsidRPr="00DD1D71">
        <w:rPr>
          <w:rFonts w:eastAsia="仿宋_GB2312"/>
          <w:b/>
          <w:bCs/>
          <w:sz w:val="28"/>
          <w:szCs w:val="28"/>
          <w:lang w:val="en-US"/>
        </w:rPr>
        <w:t>Investments</w:t>
      </w:r>
    </w:p>
    <w:p w14:paraId="238FCEBF" w14:textId="031C5A7B" w:rsidR="009556E2" w:rsidRPr="00657B22" w:rsidRDefault="002D2B51" w:rsidP="009556E2">
      <w:pPr>
        <w:spacing w:line="360" w:lineRule="auto"/>
        <w:jc w:val="both"/>
        <w:rPr>
          <w:b/>
          <w:bCs/>
          <w:sz w:val="28"/>
          <w:szCs w:val="28"/>
          <w:lang w:val="en-US"/>
        </w:rPr>
      </w:pPr>
      <w:r>
        <w:rPr>
          <w:b/>
          <w:bCs/>
          <w:sz w:val="28"/>
          <w:szCs w:val="28"/>
          <w:lang w:val="en-US"/>
        </w:rPr>
        <w:t xml:space="preserve">PROJECT </w:t>
      </w:r>
      <w:r w:rsidR="009556E2">
        <w:rPr>
          <w:b/>
          <w:bCs/>
          <w:sz w:val="28"/>
          <w:szCs w:val="28"/>
          <w:lang w:val="en-US"/>
        </w:rPr>
        <w:t>PHARAOH</w:t>
      </w:r>
    </w:p>
    <w:p w14:paraId="609619DD" w14:textId="7DDAFF31" w:rsidR="009556E2" w:rsidRDefault="009556E2" w:rsidP="009A2AEF">
      <w:pPr>
        <w:spacing w:line="360" w:lineRule="auto"/>
        <w:jc w:val="both"/>
        <w:rPr>
          <w:rFonts w:eastAsia="仿宋_GB2312"/>
          <w:bCs/>
          <w:sz w:val="28"/>
          <w:szCs w:val="28"/>
          <w:lang w:val="en-US"/>
        </w:rPr>
      </w:pPr>
      <w:r w:rsidRPr="009556E2">
        <w:rPr>
          <w:rFonts w:eastAsia="仿宋_GB2312"/>
          <w:bCs/>
          <w:sz w:val="28"/>
          <w:szCs w:val="28"/>
          <w:lang w:val="en-US"/>
        </w:rPr>
        <w:t>The target co</w:t>
      </w:r>
      <w:r w:rsidR="00D45D0E">
        <w:rPr>
          <w:rFonts w:eastAsia="仿宋_GB2312"/>
          <w:bCs/>
          <w:sz w:val="28"/>
          <w:szCs w:val="28"/>
          <w:lang w:val="en-US"/>
        </w:rPr>
        <w:t xml:space="preserve">mpany is a business unit of </w:t>
      </w:r>
      <w:r w:rsidRPr="009556E2">
        <w:rPr>
          <w:rFonts w:eastAsia="仿宋_GB2312"/>
          <w:bCs/>
          <w:sz w:val="28"/>
          <w:szCs w:val="28"/>
          <w:lang w:val="en-US"/>
        </w:rPr>
        <w:t>Philips and is one of the world's leading companies in the field of VCSEL optical chips and components. Its products are used in data communication, consumer electronics, autonomous driving and other fields, and it is also one of the suppliers of Apple</w:t>
      </w:r>
      <w:r w:rsidR="009F7FA3">
        <w:rPr>
          <w:rFonts w:eastAsia="仿宋_GB2312"/>
          <w:bCs/>
          <w:sz w:val="28"/>
          <w:szCs w:val="28"/>
          <w:lang w:val="en-US"/>
        </w:rPr>
        <w:t>’s iPhone</w:t>
      </w:r>
      <w:r w:rsidRPr="009556E2">
        <w:rPr>
          <w:rFonts w:eastAsia="仿宋_GB2312"/>
          <w:bCs/>
          <w:sz w:val="28"/>
          <w:szCs w:val="28"/>
          <w:lang w:val="en-US"/>
        </w:rPr>
        <w:t xml:space="preserve">. The overall transaction consideration </w:t>
      </w:r>
      <w:r w:rsidR="002D2B51">
        <w:rPr>
          <w:rFonts w:eastAsia="仿宋_GB2312"/>
          <w:bCs/>
          <w:sz w:val="28"/>
          <w:szCs w:val="28"/>
          <w:lang w:val="en-US"/>
        </w:rPr>
        <w:t>was</w:t>
      </w:r>
      <w:r w:rsidR="002D2B51" w:rsidRPr="009556E2">
        <w:rPr>
          <w:rFonts w:eastAsia="仿宋_GB2312"/>
          <w:bCs/>
          <w:sz w:val="28"/>
          <w:szCs w:val="28"/>
          <w:lang w:val="en-US"/>
        </w:rPr>
        <w:t xml:space="preserve"> </w:t>
      </w:r>
      <w:r w:rsidRPr="009556E2">
        <w:rPr>
          <w:rFonts w:eastAsia="仿宋_GB2312"/>
          <w:bCs/>
          <w:sz w:val="28"/>
          <w:szCs w:val="28"/>
          <w:lang w:val="en-US"/>
        </w:rPr>
        <w:t xml:space="preserve">approximately </w:t>
      </w:r>
      <w:r w:rsidR="00FC61F5">
        <w:rPr>
          <w:rFonts w:eastAsia="仿宋_GB2312"/>
          <w:bCs/>
          <w:sz w:val="28"/>
          <w:szCs w:val="28"/>
          <w:lang w:val="en-US"/>
        </w:rPr>
        <w:t xml:space="preserve">EUR </w:t>
      </w:r>
      <w:r w:rsidRPr="009556E2">
        <w:rPr>
          <w:rFonts w:eastAsia="仿宋_GB2312"/>
          <w:bCs/>
          <w:sz w:val="28"/>
          <w:szCs w:val="28"/>
          <w:lang w:val="en-US"/>
        </w:rPr>
        <w:t xml:space="preserve">200 million. </w:t>
      </w:r>
      <w:r w:rsidR="00D45D0E">
        <w:rPr>
          <w:rFonts w:eastAsia="仿宋_GB2312"/>
          <w:bCs/>
          <w:sz w:val="28"/>
          <w:szCs w:val="28"/>
          <w:lang w:val="en-US"/>
        </w:rPr>
        <w:t>The C</w:t>
      </w:r>
      <w:r w:rsidR="007748FE">
        <w:rPr>
          <w:rFonts w:eastAsia="仿宋_GB2312"/>
          <w:bCs/>
          <w:sz w:val="28"/>
          <w:szCs w:val="28"/>
          <w:lang w:val="en-US"/>
        </w:rPr>
        <w:t xml:space="preserve">ompany planned to co-invest with a Chinese listed company in </w:t>
      </w:r>
      <w:r w:rsidR="00D45D0E">
        <w:rPr>
          <w:rFonts w:eastAsia="仿宋_GB2312"/>
          <w:bCs/>
          <w:sz w:val="28"/>
          <w:szCs w:val="28"/>
          <w:lang w:val="en-US"/>
        </w:rPr>
        <w:t xml:space="preserve">the </w:t>
      </w:r>
      <w:r w:rsidR="007748FE">
        <w:rPr>
          <w:rFonts w:eastAsia="仿宋_GB2312"/>
          <w:bCs/>
          <w:sz w:val="28"/>
          <w:szCs w:val="28"/>
          <w:lang w:val="en-US"/>
        </w:rPr>
        <w:t>optical module</w:t>
      </w:r>
      <w:r w:rsidR="00D45D0E">
        <w:rPr>
          <w:rFonts w:eastAsia="仿宋_GB2312"/>
          <w:bCs/>
          <w:sz w:val="28"/>
          <w:szCs w:val="28"/>
          <w:lang w:val="en-US"/>
        </w:rPr>
        <w:t xml:space="preserve"> field</w:t>
      </w:r>
      <w:r w:rsidR="002D2B51">
        <w:rPr>
          <w:rFonts w:eastAsia="仿宋_GB2312"/>
          <w:bCs/>
          <w:sz w:val="28"/>
          <w:szCs w:val="28"/>
          <w:lang w:val="en-US"/>
        </w:rPr>
        <w:t>, with the Company subscribing</w:t>
      </w:r>
      <w:r w:rsidR="00D45D0E">
        <w:rPr>
          <w:rFonts w:eastAsia="仿宋_GB2312"/>
          <w:bCs/>
          <w:sz w:val="28"/>
          <w:szCs w:val="28"/>
          <w:lang w:val="en-US"/>
        </w:rPr>
        <w:t xml:space="preserve"> to </w:t>
      </w:r>
      <w:r w:rsidR="00D45D0E">
        <w:rPr>
          <w:rFonts w:eastAsia="仿宋_GB2312"/>
          <w:bCs/>
          <w:sz w:val="28"/>
          <w:szCs w:val="28"/>
          <w:lang w:val="en-US"/>
        </w:rPr>
        <w:lastRenderedPageBreak/>
        <w:t>purchase</w:t>
      </w:r>
      <w:r w:rsidR="007748FE">
        <w:rPr>
          <w:rFonts w:eastAsia="仿宋_GB2312"/>
          <w:bCs/>
          <w:sz w:val="28"/>
          <w:szCs w:val="28"/>
          <w:lang w:val="en-US"/>
        </w:rPr>
        <w:t xml:space="preserve"> </w:t>
      </w:r>
      <w:r w:rsidRPr="009556E2">
        <w:rPr>
          <w:rFonts w:eastAsia="仿宋_GB2312"/>
          <w:bCs/>
          <w:sz w:val="28"/>
          <w:szCs w:val="28"/>
          <w:lang w:val="en-US"/>
        </w:rPr>
        <w:t>40-45%</w:t>
      </w:r>
      <w:r w:rsidR="007748FE">
        <w:rPr>
          <w:rFonts w:eastAsia="仿宋_GB2312"/>
          <w:bCs/>
          <w:sz w:val="28"/>
          <w:szCs w:val="28"/>
          <w:lang w:val="en-US"/>
        </w:rPr>
        <w:t xml:space="preserve"> of the target company</w:t>
      </w:r>
      <w:r w:rsidR="00D45D0E">
        <w:rPr>
          <w:rFonts w:eastAsia="仿宋_GB2312"/>
          <w:bCs/>
          <w:sz w:val="28"/>
          <w:szCs w:val="28"/>
          <w:lang w:val="en-US"/>
        </w:rPr>
        <w:t>.</w:t>
      </w:r>
      <w:r w:rsidR="001A4DFE">
        <w:rPr>
          <w:rFonts w:eastAsia="仿宋_GB2312"/>
          <w:bCs/>
          <w:sz w:val="28"/>
          <w:szCs w:val="28"/>
          <w:lang w:val="en-US"/>
        </w:rPr>
        <w:t xml:space="preserve"> </w:t>
      </w:r>
      <w:r w:rsidR="0036560A">
        <w:rPr>
          <w:rFonts w:eastAsia="仿宋_GB2312"/>
          <w:bCs/>
          <w:sz w:val="28"/>
          <w:szCs w:val="28"/>
          <w:lang w:val="en-US"/>
        </w:rPr>
        <w:t>U</w:t>
      </w:r>
      <w:r w:rsidRPr="009556E2">
        <w:rPr>
          <w:rFonts w:eastAsia="仿宋_GB2312"/>
          <w:bCs/>
          <w:sz w:val="28"/>
          <w:szCs w:val="28"/>
          <w:lang w:val="en-US"/>
        </w:rPr>
        <w:t>nfortunately, although</w:t>
      </w:r>
      <w:r w:rsidR="0036560A">
        <w:rPr>
          <w:rFonts w:eastAsia="仿宋_GB2312"/>
          <w:bCs/>
          <w:sz w:val="28"/>
          <w:szCs w:val="28"/>
          <w:lang w:val="en-US"/>
        </w:rPr>
        <w:t xml:space="preserve"> we</w:t>
      </w:r>
      <w:r w:rsidRPr="009556E2">
        <w:rPr>
          <w:rFonts w:eastAsia="仿宋_GB2312"/>
          <w:bCs/>
          <w:sz w:val="28"/>
          <w:szCs w:val="28"/>
          <w:lang w:val="en-US"/>
        </w:rPr>
        <w:t xml:space="preserve"> successfully completed the fundraising of </w:t>
      </w:r>
      <w:r w:rsidR="00E516DF">
        <w:rPr>
          <w:rFonts w:eastAsia="仿宋_GB2312"/>
          <w:bCs/>
          <w:sz w:val="28"/>
          <w:szCs w:val="28"/>
          <w:lang w:val="en-US"/>
        </w:rPr>
        <w:t xml:space="preserve">EUR </w:t>
      </w:r>
      <w:r w:rsidRPr="009556E2">
        <w:rPr>
          <w:rFonts w:eastAsia="仿宋_GB2312"/>
          <w:bCs/>
          <w:sz w:val="28"/>
          <w:szCs w:val="28"/>
          <w:lang w:val="en-US"/>
        </w:rPr>
        <w:t>100 million</w:t>
      </w:r>
      <w:r w:rsidR="00E516DF">
        <w:rPr>
          <w:rFonts w:eastAsia="仿宋_GB2312"/>
          <w:bCs/>
          <w:sz w:val="28"/>
          <w:szCs w:val="28"/>
          <w:lang w:val="en-US"/>
        </w:rPr>
        <w:t xml:space="preserve"> from CNIC and </w:t>
      </w:r>
      <w:r w:rsidR="0036560A">
        <w:rPr>
          <w:rFonts w:eastAsia="仿宋_GB2312"/>
          <w:bCs/>
          <w:sz w:val="28"/>
          <w:szCs w:val="28"/>
          <w:lang w:val="en-US"/>
        </w:rPr>
        <w:t>our</w:t>
      </w:r>
      <w:r w:rsidR="00E516DF">
        <w:rPr>
          <w:rFonts w:eastAsia="仿宋_GB2312"/>
          <w:bCs/>
          <w:sz w:val="28"/>
          <w:szCs w:val="28"/>
          <w:lang w:val="en-US"/>
        </w:rPr>
        <w:t xml:space="preserve"> strategic </w:t>
      </w:r>
      <w:r w:rsidR="0036560A">
        <w:rPr>
          <w:rFonts w:eastAsia="仿宋_GB2312"/>
          <w:bCs/>
          <w:sz w:val="28"/>
          <w:szCs w:val="28"/>
          <w:lang w:val="en-US"/>
        </w:rPr>
        <w:t>co-</w:t>
      </w:r>
      <w:r w:rsidR="00E516DF">
        <w:rPr>
          <w:rFonts w:eastAsia="仿宋_GB2312"/>
          <w:bCs/>
          <w:sz w:val="28"/>
          <w:szCs w:val="28"/>
          <w:lang w:val="en-US"/>
        </w:rPr>
        <w:t xml:space="preserve">investor had </w:t>
      </w:r>
      <w:r w:rsidR="0036560A">
        <w:rPr>
          <w:rFonts w:eastAsia="仿宋_GB2312"/>
          <w:bCs/>
          <w:sz w:val="28"/>
          <w:szCs w:val="28"/>
          <w:lang w:val="en-US"/>
        </w:rPr>
        <w:t xml:space="preserve">every </w:t>
      </w:r>
      <w:r w:rsidR="00E516DF">
        <w:rPr>
          <w:rFonts w:eastAsia="仿宋_GB2312"/>
          <w:bCs/>
          <w:sz w:val="28"/>
          <w:szCs w:val="28"/>
          <w:lang w:val="en-US"/>
        </w:rPr>
        <w:t>intention</w:t>
      </w:r>
      <w:r w:rsidRPr="009556E2">
        <w:rPr>
          <w:rFonts w:eastAsia="仿宋_GB2312"/>
          <w:bCs/>
          <w:sz w:val="28"/>
          <w:szCs w:val="28"/>
          <w:lang w:val="en-US"/>
        </w:rPr>
        <w:t xml:space="preserve"> </w:t>
      </w:r>
      <w:r w:rsidR="0036560A">
        <w:rPr>
          <w:rFonts w:eastAsia="仿宋_GB2312"/>
          <w:bCs/>
          <w:sz w:val="28"/>
          <w:szCs w:val="28"/>
          <w:lang w:val="en-US"/>
        </w:rPr>
        <w:t>of</w:t>
      </w:r>
      <w:r w:rsidR="0036560A" w:rsidRPr="009556E2">
        <w:rPr>
          <w:rFonts w:eastAsia="仿宋_GB2312"/>
          <w:bCs/>
          <w:sz w:val="28"/>
          <w:szCs w:val="28"/>
          <w:lang w:val="en-US"/>
        </w:rPr>
        <w:t xml:space="preserve"> engag</w:t>
      </w:r>
      <w:r w:rsidR="0036560A">
        <w:rPr>
          <w:rFonts w:eastAsia="仿宋_GB2312"/>
          <w:bCs/>
          <w:sz w:val="28"/>
          <w:szCs w:val="28"/>
          <w:lang w:val="en-US"/>
        </w:rPr>
        <w:t>ing</w:t>
      </w:r>
      <w:r w:rsidR="0036560A" w:rsidRPr="009556E2">
        <w:rPr>
          <w:rFonts w:eastAsia="仿宋_GB2312"/>
          <w:bCs/>
          <w:sz w:val="28"/>
          <w:szCs w:val="28"/>
          <w:lang w:val="en-US"/>
        </w:rPr>
        <w:t xml:space="preserve"> </w:t>
      </w:r>
      <w:r w:rsidRPr="009556E2">
        <w:rPr>
          <w:rFonts w:eastAsia="仿宋_GB2312"/>
          <w:bCs/>
          <w:sz w:val="28"/>
          <w:szCs w:val="28"/>
          <w:lang w:val="en-US"/>
        </w:rPr>
        <w:t>in long-term acquisition co</w:t>
      </w:r>
      <w:r w:rsidR="00D45D0E">
        <w:rPr>
          <w:rFonts w:eastAsia="仿宋_GB2312"/>
          <w:bCs/>
          <w:sz w:val="28"/>
          <w:szCs w:val="28"/>
          <w:lang w:val="en-US"/>
        </w:rPr>
        <w:t>operation with the C</w:t>
      </w:r>
      <w:r w:rsidR="00E516DF">
        <w:rPr>
          <w:rFonts w:eastAsia="仿宋_GB2312"/>
          <w:bCs/>
          <w:sz w:val="28"/>
          <w:szCs w:val="28"/>
          <w:lang w:val="en-US"/>
        </w:rPr>
        <w:t xml:space="preserve">ompany, the strategic </w:t>
      </w:r>
      <w:r w:rsidR="0036560A">
        <w:rPr>
          <w:rFonts w:eastAsia="仿宋_GB2312"/>
          <w:bCs/>
          <w:sz w:val="28"/>
          <w:szCs w:val="28"/>
          <w:lang w:val="en-US"/>
        </w:rPr>
        <w:t>co-</w:t>
      </w:r>
      <w:r w:rsidR="00E516DF">
        <w:rPr>
          <w:rFonts w:eastAsia="仿宋_GB2312"/>
          <w:bCs/>
          <w:sz w:val="28"/>
          <w:szCs w:val="28"/>
          <w:lang w:val="en-US"/>
        </w:rPr>
        <w:t xml:space="preserve">investor </w:t>
      </w:r>
      <w:r w:rsidR="0036560A">
        <w:rPr>
          <w:rFonts w:eastAsia="仿宋_GB2312"/>
          <w:bCs/>
          <w:sz w:val="28"/>
          <w:szCs w:val="28"/>
          <w:lang w:val="en-US"/>
        </w:rPr>
        <w:t xml:space="preserve">was concerned </w:t>
      </w:r>
      <w:r w:rsidR="00E516DF">
        <w:rPr>
          <w:rFonts w:eastAsia="仿宋_GB2312"/>
          <w:bCs/>
          <w:sz w:val="28"/>
          <w:szCs w:val="28"/>
          <w:lang w:val="en-US"/>
        </w:rPr>
        <w:t xml:space="preserve">that a state-affiliated fund </w:t>
      </w:r>
      <w:r w:rsidR="0036560A">
        <w:rPr>
          <w:rFonts w:eastAsia="仿宋_GB2312"/>
          <w:bCs/>
          <w:sz w:val="28"/>
          <w:szCs w:val="28"/>
          <w:lang w:val="en-US"/>
        </w:rPr>
        <w:t xml:space="preserve">would </w:t>
      </w:r>
      <w:r w:rsidR="00E516DF">
        <w:rPr>
          <w:rFonts w:eastAsia="仿宋_GB2312"/>
          <w:bCs/>
          <w:sz w:val="28"/>
          <w:szCs w:val="28"/>
          <w:lang w:val="en-US"/>
        </w:rPr>
        <w:t xml:space="preserve">not </w:t>
      </w:r>
      <w:r w:rsidRPr="009556E2">
        <w:rPr>
          <w:rFonts w:eastAsia="仿宋_GB2312"/>
          <w:bCs/>
          <w:sz w:val="28"/>
          <w:szCs w:val="28"/>
          <w:lang w:val="en-US"/>
        </w:rPr>
        <w:t>pass the approval of the German regulat</w:t>
      </w:r>
      <w:r w:rsidR="00D45D0E">
        <w:rPr>
          <w:rFonts w:eastAsia="仿宋_GB2312"/>
          <w:bCs/>
          <w:sz w:val="28"/>
          <w:szCs w:val="28"/>
          <w:lang w:val="en-US"/>
        </w:rPr>
        <w:t xml:space="preserve">ory authorities. </w:t>
      </w:r>
      <w:r w:rsidR="0036560A">
        <w:rPr>
          <w:rFonts w:eastAsia="仿宋_GB2312"/>
          <w:bCs/>
          <w:sz w:val="28"/>
          <w:szCs w:val="28"/>
          <w:lang w:val="en-US"/>
        </w:rPr>
        <w:t xml:space="preserve"> In the end,</w:t>
      </w:r>
      <w:r w:rsidR="00E516DF">
        <w:rPr>
          <w:rFonts w:eastAsia="仿宋_GB2312"/>
          <w:bCs/>
          <w:sz w:val="28"/>
          <w:szCs w:val="28"/>
          <w:lang w:val="en-US"/>
        </w:rPr>
        <w:t xml:space="preserve"> the strategic </w:t>
      </w:r>
      <w:r w:rsidR="0036560A">
        <w:rPr>
          <w:rFonts w:eastAsia="仿宋_GB2312"/>
          <w:bCs/>
          <w:sz w:val="28"/>
          <w:szCs w:val="28"/>
          <w:lang w:val="en-US"/>
        </w:rPr>
        <w:t>co-</w:t>
      </w:r>
      <w:r w:rsidR="00E516DF">
        <w:rPr>
          <w:rFonts w:eastAsia="仿宋_GB2312"/>
          <w:bCs/>
          <w:sz w:val="28"/>
          <w:szCs w:val="28"/>
          <w:lang w:val="en-US"/>
        </w:rPr>
        <w:t xml:space="preserve">investor </w:t>
      </w:r>
      <w:r w:rsidRPr="009556E2">
        <w:rPr>
          <w:rFonts w:eastAsia="仿宋_GB2312"/>
          <w:bCs/>
          <w:sz w:val="28"/>
          <w:szCs w:val="28"/>
          <w:lang w:val="en-US"/>
        </w:rPr>
        <w:t xml:space="preserve">chose a </w:t>
      </w:r>
      <w:r w:rsidR="00D45D0E">
        <w:rPr>
          <w:rFonts w:eastAsia="仿宋_GB2312"/>
          <w:bCs/>
          <w:sz w:val="28"/>
          <w:szCs w:val="28"/>
          <w:lang w:val="en-US"/>
        </w:rPr>
        <w:t xml:space="preserve">100% </w:t>
      </w:r>
      <w:r w:rsidRPr="009556E2">
        <w:rPr>
          <w:rFonts w:eastAsia="仿宋_GB2312"/>
          <w:bCs/>
          <w:sz w:val="28"/>
          <w:szCs w:val="28"/>
          <w:lang w:val="en-US"/>
        </w:rPr>
        <w:t>private</w:t>
      </w:r>
      <w:r w:rsidR="0036560A">
        <w:rPr>
          <w:rFonts w:eastAsia="仿宋_GB2312"/>
          <w:bCs/>
          <w:sz w:val="28"/>
          <w:szCs w:val="28"/>
          <w:lang w:val="en-US"/>
        </w:rPr>
        <w:t>ly-held</w:t>
      </w:r>
      <w:r w:rsidRPr="009556E2">
        <w:rPr>
          <w:rFonts w:eastAsia="仿宋_GB2312"/>
          <w:bCs/>
          <w:sz w:val="28"/>
          <w:szCs w:val="28"/>
          <w:lang w:val="en-US"/>
        </w:rPr>
        <w:t xml:space="preserve"> fund to cooperate</w:t>
      </w:r>
      <w:r w:rsidR="00D45D0E">
        <w:rPr>
          <w:rFonts w:eastAsia="仿宋_GB2312"/>
          <w:bCs/>
          <w:sz w:val="28"/>
          <w:szCs w:val="28"/>
          <w:lang w:val="en-US"/>
        </w:rPr>
        <w:t xml:space="preserve"> with</w:t>
      </w:r>
      <w:r w:rsidR="0036560A">
        <w:rPr>
          <w:rFonts w:eastAsia="仿宋_GB2312"/>
          <w:bCs/>
          <w:sz w:val="28"/>
          <w:szCs w:val="28"/>
          <w:lang w:val="en-US"/>
        </w:rPr>
        <w:t xml:space="preserve"> it in this acquisition instead of BHR</w:t>
      </w:r>
      <w:r w:rsidRPr="009556E2">
        <w:rPr>
          <w:rFonts w:eastAsia="仿宋_GB2312"/>
          <w:bCs/>
          <w:sz w:val="28"/>
          <w:szCs w:val="28"/>
          <w:lang w:val="en-US"/>
        </w:rPr>
        <w:t>.</w:t>
      </w:r>
    </w:p>
    <w:p w14:paraId="335360A9" w14:textId="291A4121" w:rsidR="009556E2" w:rsidRDefault="00B54A52" w:rsidP="009556E2">
      <w:pPr>
        <w:tabs>
          <w:tab w:val="left" w:pos="330"/>
        </w:tabs>
        <w:spacing w:before="220" w:after="220" w:line="360" w:lineRule="auto"/>
        <w:jc w:val="both"/>
        <w:rPr>
          <w:rFonts w:eastAsia="仿宋_GB2312"/>
          <w:bCs/>
          <w:sz w:val="28"/>
          <w:szCs w:val="28"/>
          <w:lang w:val="en-US"/>
        </w:rPr>
      </w:pPr>
      <w:r>
        <w:rPr>
          <w:rFonts w:eastAsia="仿宋_GB2312"/>
          <w:b/>
          <w:bCs/>
          <w:sz w:val="28"/>
          <w:lang w:val="en-US"/>
        </w:rPr>
        <w:t xml:space="preserve">PROJECT </w:t>
      </w:r>
      <w:r w:rsidR="009556E2" w:rsidRPr="00EE1B98">
        <w:rPr>
          <w:rFonts w:eastAsia="仿宋_GB2312" w:hint="eastAsia"/>
          <w:b/>
          <w:bCs/>
          <w:sz w:val="28"/>
          <w:lang w:val="en-US"/>
        </w:rPr>
        <w:t>H.</w:t>
      </w:r>
      <w:r w:rsidR="009556E2" w:rsidRPr="00EE1B98">
        <w:rPr>
          <w:rFonts w:eastAsia="仿宋_GB2312"/>
          <w:b/>
          <w:bCs/>
          <w:sz w:val="28"/>
          <w:lang w:val="en-US"/>
        </w:rPr>
        <w:t xml:space="preserve"> </w:t>
      </w:r>
      <w:r w:rsidR="009556E2" w:rsidRPr="00EE1B98">
        <w:rPr>
          <w:rFonts w:eastAsia="仿宋_GB2312" w:hint="eastAsia"/>
          <w:b/>
          <w:bCs/>
          <w:sz w:val="28"/>
          <w:lang w:val="en-US"/>
        </w:rPr>
        <w:t>C.</w:t>
      </w:r>
      <w:r w:rsidR="009556E2" w:rsidRPr="00EE1B98">
        <w:rPr>
          <w:rFonts w:eastAsia="仿宋_GB2312"/>
          <w:b/>
          <w:bCs/>
          <w:sz w:val="28"/>
          <w:lang w:val="en-US"/>
        </w:rPr>
        <w:t xml:space="preserve"> </w:t>
      </w:r>
      <w:r w:rsidR="009556E2" w:rsidRPr="00EE1B98">
        <w:rPr>
          <w:rFonts w:eastAsia="仿宋_GB2312" w:hint="eastAsia"/>
          <w:b/>
          <w:bCs/>
          <w:sz w:val="28"/>
          <w:lang w:val="en-US"/>
        </w:rPr>
        <w:t>STARCK</w:t>
      </w:r>
    </w:p>
    <w:p w14:paraId="3EDBD04A" w14:textId="50571D50" w:rsidR="001A4DFE" w:rsidRPr="009A2AEF" w:rsidRDefault="00C41FA1" w:rsidP="009A2AEF">
      <w:pPr>
        <w:spacing w:line="360" w:lineRule="auto"/>
        <w:jc w:val="both"/>
        <w:rPr>
          <w:rFonts w:eastAsia="仿宋_GB2312"/>
          <w:bCs/>
          <w:sz w:val="28"/>
          <w:szCs w:val="28"/>
          <w:lang w:val="en-US"/>
        </w:rPr>
      </w:pPr>
      <w:r w:rsidRPr="00C41FA1">
        <w:rPr>
          <w:rFonts w:eastAsia="仿宋_GB2312"/>
          <w:bCs/>
          <w:sz w:val="28"/>
          <w:szCs w:val="28"/>
          <w:lang w:val="en-US"/>
        </w:rPr>
        <w:t xml:space="preserve">The project </w:t>
      </w:r>
      <w:r w:rsidR="00B54A52">
        <w:rPr>
          <w:rFonts w:eastAsia="仿宋_GB2312"/>
          <w:bCs/>
          <w:sz w:val="28"/>
          <w:szCs w:val="28"/>
          <w:lang w:val="en-US"/>
        </w:rPr>
        <w:t>was intended as</w:t>
      </w:r>
      <w:r w:rsidR="00B54A52" w:rsidRPr="00C41FA1">
        <w:rPr>
          <w:rFonts w:eastAsia="仿宋_GB2312"/>
          <w:bCs/>
          <w:sz w:val="28"/>
          <w:szCs w:val="28"/>
          <w:lang w:val="en-US"/>
        </w:rPr>
        <w:t xml:space="preserve"> </w:t>
      </w:r>
      <w:r w:rsidRPr="00C41FA1">
        <w:rPr>
          <w:rFonts w:eastAsia="仿宋_GB2312"/>
          <w:bCs/>
          <w:sz w:val="28"/>
          <w:szCs w:val="28"/>
          <w:lang w:val="en-US"/>
        </w:rPr>
        <w:t xml:space="preserve">a joint </w:t>
      </w:r>
      <w:r>
        <w:rPr>
          <w:rFonts w:eastAsia="仿宋_GB2312"/>
          <w:bCs/>
          <w:sz w:val="28"/>
          <w:szCs w:val="28"/>
          <w:lang w:val="en-US"/>
        </w:rPr>
        <w:t>investment</w:t>
      </w:r>
      <w:r w:rsidR="00C12259">
        <w:rPr>
          <w:rFonts w:eastAsia="仿宋_GB2312"/>
          <w:bCs/>
          <w:sz w:val="28"/>
          <w:szCs w:val="28"/>
          <w:lang w:val="en-US"/>
        </w:rPr>
        <w:t xml:space="preserve"> </w:t>
      </w:r>
      <w:r w:rsidR="00B54A52">
        <w:rPr>
          <w:rFonts w:eastAsia="仿宋_GB2312"/>
          <w:bCs/>
          <w:sz w:val="28"/>
          <w:szCs w:val="28"/>
          <w:lang w:val="en-US"/>
        </w:rPr>
        <w:t xml:space="preserve">by </w:t>
      </w:r>
      <w:r w:rsidR="00C12259">
        <w:rPr>
          <w:rFonts w:eastAsia="仿宋_GB2312"/>
          <w:bCs/>
          <w:sz w:val="28"/>
          <w:szCs w:val="28"/>
          <w:lang w:val="en-US"/>
        </w:rPr>
        <w:t>the C</w:t>
      </w:r>
      <w:r w:rsidRPr="00C41FA1">
        <w:rPr>
          <w:rFonts w:eastAsia="仿宋_GB2312"/>
          <w:bCs/>
          <w:sz w:val="28"/>
          <w:szCs w:val="28"/>
          <w:lang w:val="en-US"/>
        </w:rPr>
        <w:t xml:space="preserve">ompany and </w:t>
      </w:r>
      <w:r w:rsidR="00B54A52">
        <w:rPr>
          <w:rFonts w:eastAsia="仿宋_GB2312"/>
          <w:bCs/>
          <w:sz w:val="28"/>
          <w:szCs w:val="28"/>
          <w:lang w:val="en-US"/>
        </w:rPr>
        <w:t xml:space="preserve">a listed </w:t>
      </w:r>
      <w:r>
        <w:rPr>
          <w:rFonts w:eastAsia="仿宋_GB2312"/>
          <w:bCs/>
          <w:sz w:val="28"/>
          <w:szCs w:val="28"/>
          <w:lang w:val="en-US"/>
        </w:rPr>
        <w:t xml:space="preserve">subsidiary of </w:t>
      </w:r>
      <w:proofErr w:type="spellStart"/>
      <w:r w:rsidRPr="00C41FA1">
        <w:rPr>
          <w:rFonts w:eastAsia="仿宋_GB2312"/>
          <w:bCs/>
          <w:sz w:val="28"/>
          <w:szCs w:val="28"/>
          <w:lang w:val="en-US"/>
        </w:rPr>
        <w:t>Minmetals</w:t>
      </w:r>
      <w:proofErr w:type="spellEnd"/>
      <w:r w:rsidRPr="00C41FA1">
        <w:rPr>
          <w:rFonts w:eastAsia="仿宋_GB2312"/>
          <w:bCs/>
          <w:sz w:val="28"/>
          <w:szCs w:val="28"/>
          <w:lang w:val="en-US"/>
        </w:rPr>
        <w:t xml:space="preserve"> Corporation</w:t>
      </w:r>
      <w:r w:rsidR="00B54A52">
        <w:rPr>
          <w:rFonts w:eastAsia="仿宋_GB2312"/>
          <w:bCs/>
          <w:sz w:val="28"/>
          <w:szCs w:val="28"/>
          <w:lang w:val="en-US"/>
        </w:rPr>
        <w:t xml:space="preserve"> - </w:t>
      </w:r>
      <w:r>
        <w:rPr>
          <w:rFonts w:eastAsia="仿宋_GB2312"/>
          <w:bCs/>
          <w:sz w:val="28"/>
          <w:szCs w:val="28"/>
          <w:lang w:val="en-US"/>
        </w:rPr>
        <w:t xml:space="preserve">China Tungsten </w:t>
      </w:r>
      <w:proofErr w:type="spellStart"/>
      <w:r>
        <w:rPr>
          <w:rFonts w:eastAsia="仿宋_GB2312"/>
          <w:bCs/>
          <w:sz w:val="28"/>
          <w:szCs w:val="28"/>
          <w:lang w:val="en-US"/>
        </w:rPr>
        <w:t>Hightech</w:t>
      </w:r>
      <w:proofErr w:type="spellEnd"/>
      <w:r>
        <w:rPr>
          <w:rFonts w:eastAsia="仿宋_GB2312"/>
          <w:bCs/>
          <w:sz w:val="28"/>
          <w:szCs w:val="28"/>
          <w:lang w:val="en-US"/>
        </w:rPr>
        <w:t xml:space="preserve"> </w:t>
      </w:r>
      <w:proofErr w:type="spellStart"/>
      <w:r>
        <w:rPr>
          <w:rFonts w:eastAsia="仿宋_GB2312"/>
          <w:bCs/>
          <w:sz w:val="28"/>
          <w:szCs w:val="28"/>
          <w:lang w:val="en-US"/>
        </w:rPr>
        <w:t>Materals</w:t>
      </w:r>
      <w:proofErr w:type="spellEnd"/>
      <w:r>
        <w:rPr>
          <w:rFonts w:eastAsia="仿宋_GB2312"/>
          <w:bCs/>
          <w:sz w:val="28"/>
          <w:szCs w:val="28"/>
          <w:lang w:val="en-US"/>
        </w:rPr>
        <w:t xml:space="preserve"> Limited, </w:t>
      </w:r>
      <w:r w:rsidRPr="00C41FA1">
        <w:rPr>
          <w:rFonts w:eastAsia="仿宋_GB2312"/>
          <w:bCs/>
          <w:sz w:val="28"/>
          <w:szCs w:val="28"/>
          <w:lang w:val="en-US"/>
        </w:rPr>
        <w:t xml:space="preserve">to acquire the tungsten powder business of H.C. </w:t>
      </w:r>
      <w:proofErr w:type="spellStart"/>
      <w:r w:rsidRPr="00C41FA1">
        <w:rPr>
          <w:rFonts w:eastAsia="仿宋_GB2312"/>
          <w:bCs/>
          <w:sz w:val="28"/>
          <w:szCs w:val="28"/>
          <w:lang w:val="en-US"/>
        </w:rPr>
        <w:t>Starck</w:t>
      </w:r>
      <w:proofErr w:type="spellEnd"/>
      <w:r w:rsidRPr="00C41FA1">
        <w:rPr>
          <w:rFonts w:eastAsia="仿宋_GB2312"/>
          <w:bCs/>
          <w:sz w:val="28"/>
          <w:szCs w:val="28"/>
          <w:lang w:val="en-US"/>
        </w:rPr>
        <w:t xml:space="preserve"> Group. </w:t>
      </w:r>
      <w:r w:rsidR="00B54A52">
        <w:rPr>
          <w:rFonts w:eastAsia="仿宋_GB2312"/>
          <w:bCs/>
          <w:sz w:val="28"/>
          <w:szCs w:val="28"/>
          <w:lang w:val="en-US"/>
        </w:rPr>
        <w:t xml:space="preserve"> The target </w:t>
      </w:r>
      <w:r w:rsidR="002C375E">
        <w:rPr>
          <w:rFonts w:eastAsia="仿宋_GB2312"/>
          <w:bCs/>
          <w:sz w:val="28"/>
          <w:szCs w:val="28"/>
          <w:lang w:val="en-US"/>
        </w:rPr>
        <w:t xml:space="preserve">(enterprise valuation of EUR223 million) </w:t>
      </w:r>
      <w:r w:rsidRPr="00C41FA1">
        <w:rPr>
          <w:rFonts w:eastAsia="仿宋_GB2312"/>
          <w:bCs/>
          <w:sz w:val="28"/>
          <w:szCs w:val="28"/>
          <w:lang w:val="en-US"/>
        </w:rPr>
        <w:t>is the world's leading producer of high-tech metal powders and fini</w:t>
      </w:r>
      <w:r w:rsidR="00C12259">
        <w:rPr>
          <w:rFonts w:eastAsia="仿宋_GB2312"/>
          <w:bCs/>
          <w:sz w:val="28"/>
          <w:szCs w:val="28"/>
          <w:lang w:val="en-US"/>
        </w:rPr>
        <w:t>shed products</w:t>
      </w:r>
      <w:r w:rsidR="0031318A">
        <w:rPr>
          <w:rFonts w:eastAsia="仿宋_GB2312"/>
          <w:bCs/>
          <w:sz w:val="28"/>
          <w:szCs w:val="28"/>
          <w:lang w:val="en-US"/>
        </w:rPr>
        <w:t xml:space="preserve"> with its proprietary technology and process and our strategic co-investor is also a manufacturer of tungsten powder products. </w:t>
      </w:r>
      <w:r w:rsidR="002C375E">
        <w:rPr>
          <w:rFonts w:eastAsia="仿宋_GB2312"/>
          <w:bCs/>
          <w:sz w:val="28"/>
          <w:szCs w:val="28"/>
          <w:lang w:val="en-US"/>
        </w:rPr>
        <w:t>The BHR-</w:t>
      </w:r>
      <w:proofErr w:type="spellStart"/>
      <w:r w:rsidR="002C375E">
        <w:rPr>
          <w:rFonts w:eastAsia="仿宋_GB2312"/>
          <w:bCs/>
          <w:sz w:val="28"/>
          <w:szCs w:val="28"/>
          <w:lang w:val="en-US"/>
        </w:rPr>
        <w:t>Minmetals</w:t>
      </w:r>
      <w:proofErr w:type="spellEnd"/>
      <w:r w:rsidR="002C375E">
        <w:rPr>
          <w:rFonts w:eastAsia="仿宋_GB2312"/>
          <w:bCs/>
          <w:sz w:val="28"/>
          <w:szCs w:val="28"/>
          <w:lang w:val="en-US"/>
        </w:rPr>
        <w:t xml:space="preserve"> consortium was engaged in final and exclusive discussions with the sellers but after many months of discussions</w:t>
      </w:r>
      <w:r w:rsidR="00336FAC">
        <w:rPr>
          <w:rFonts w:eastAsia="仿宋_GB2312"/>
          <w:bCs/>
          <w:sz w:val="28"/>
          <w:szCs w:val="28"/>
          <w:lang w:val="en-US"/>
        </w:rPr>
        <w:t>,</w:t>
      </w:r>
      <w:r w:rsidR="002C375E">
        <w:rPr>
          <w:rFonts w:eastAsia="仿宋_GB2312"/>
          <w:bCs/>
          <w:sz w:val="28"/>
          <w:szCs w:val="28"/>
          <w:lang w:val="en-US"/>
        </w:rPr>
        <w:t xml:space="preserve"> </w:t>
      </w:r>
      <w:proofErr w:type="spellStart"/>
      <w:r w:rsidRPr="00C41FA1">
        <w:rPr>
          <w:rFonts w:eastAsia="仿宋_GB2312"/>
          <w:bCs/>
          <w:sz w:val="28"/>
          <w:szCs w:val="28"/>
          <w:lang w:val="en-US"/>
        </w:rPr>
        <w:t>Minmetals</w:t>
      </w:r>
      <w:proofErr w:type="spellEnd"/>
      <w:r w:rsidRPr="00C41FA1">
        <w:rPr>
          <w:rFonts w:eastAsia="仿宋_GB2312"/>
          <w:bCs/>
          <w:sz w:val="28"/>
          <w:szCs w:val="28"/>
          <w:lang w:val="en-US"/>
        </w:rPr>
        <w:t xml:space="preserve"> </w:t>
      </w:r>
      <w:r w:rsidR="00336FAC">
        <w:rPr>
          <w:rFonts w:eastAsia="仿宋_GB2312"/>
          <w:bCs/>
          <w:sz w:val="28"/>
          <w:szCs w:val="28"/>
          <w:lang w:val="en-US"/>
        </w:rPr>
        <w:t>Group decided not to proceed with</w:t>
      </w:r>
      <w:r w:rsidR="00336FAC" w:rsidRPr="00C41FA1">
        <w:rPr>
          <w:rFonts w:eastAsia="仿宋_GB2312"/>
          <w:bCs/>
          <w:sz w:val="28"/>
          <w:szCs w:val="28"/>
          <w:lang w:val="en-US"/>
        </w:rPr>
        <w:t xml:space="preserve"> </w:t>
      </w:r>
      <w:r w:rsidRPr="00C41FA1">
        <w:rPr>
          <w:rFonts w:eastAsia="仿宋_GB2312"/>
          <w:bCs/>
          <w:sz w:val="28"/>
          <w:szCs w:val="28"/>
          <w:lang w:val="en-US"/>
        </w:rPr>
        <w:t>the acquisition</w:t>
      </w:r>
      <w:r w:rsidR="00336FAC">
        <w:rPr>
          <w:rFonts w:eastAsia="仿宋_GB2312"/>
          <w:bCs/>
          <w:sz w:val="28"/>
          <w:szCs w:val="28"/>
          <w:lang w:val="en-US"/>
        </w:rPr>
        <w:t xml:space="preserve">, reasons include German and CFIUS foreign investment approval uncertainties as well as the last-minute appointment of a new investment committee chairman at </w:t>
      </w:r>
      <w:proofErr w:type="spellStart"/>
      <w:r w:rsidR="00336FAC">
        <w:rPr>
          <w:rFonts w:eastAsia="仿宋_GB2312"/>
          <w:bCs/>
          <w:sz w:val="28"/>
          <w:szCs w:val="28"/>
          <w:lang w:val="en-US"/>
        </w:rPr>
        <w:t>Minmetals</w:t>
      </w:r>
      <w:proofErr w:type="spellEnd"/>
      <w:r w:rsidR="00336FAC">
        <w:rPr>
          <w:rFonts w:eastAsia="仿宋_GB2312"/>
          <w:bCs/>
          <w:sz w:val="28"/>
          <w:szCs w:val="28"/>
          <w:lang w:val="en-US"/>
        </w:rPr>
        <w:t xml:space="preserve"> Group</w:t>
      </w:r>
      <w:r w:rsidRPr="00C41FA1">
        <w:rPr>
          <w:rFonts w:eastAsia="仿宋_GB2312"/>
          <w:bCs/>
          <w:sz w:val="28"/>
          <w:szCs w:val="28"/>
          <w:lang w:val="en-US"/>
        </w:rPr>
        <w:t>.</w:t>
      </w:r>
      <w:r w:rsidR="001A4DFE" w:rsidRPr="009A2AEF">
        <w:rPr>
          <w:rFonts w:eastAsia="仿宋_GB2312" w:hint="eastAsia"/>
          <w:bCs/>
          <w:sz w:val="28"/>
          <w:szCs w:val="28"/>
          <w:lang w:val="en-US"/>
        </w:rPr>
        <w:t xml:space="preserve"> </w:t>
      </w:r>
    </w:p>
    <w:p w14:paraId="4936DB7D" w14:textId="3DCA757C" w:rsidR="009556E2" w:rsidRDefault="00F151F3" w:rsidP="009556E2">
      <w:pPr>
        <w:tabs>
          <w:tab w:val="left" w:pos="330"/>
        </w:tabs>
        <w:spacing w:before="220" w:after="220" w:line="360" w:lineRule="auto"/>
        <w:jc w:val="both"/>
        <w:rPr>
          <w:rFonts w:eastAsia="仿宋_GB2312"/>
          <w:b/>
          <w:bCs/>
          <w:sz w:val="28"/>
          <w:szCs w:val="28"/>
          <w:lang w:val="en-US"/>
        </w:rPr>
      </w:pPr>
      <w:r>
        <w:rPr>
          <w:rFonts w:eastAsia="仿宋_GB2312"/>
          <w:b/>
          <w:bCs/>
          <w:sz w:val="28"/>
          <w:szCs w:val="28"/>
          <w:lang w:val="en-US"/>
        </w:rPr>
        <w:lastRenderedPageBreak/>
        <w:t xml:space="preserve">PROJECT </w:t>
      </w:r>
      <w:r w:rsidR="009556E2" w:rsidRPr="006A7FD4">
        <w:rPr>
          <w:rFonts w:eastAsia="仿宋_GB2312"/>
          <w:b/>
          <w:bCs/>
          <w:sz w:val="28"/>
          <w:szCs w:val="28"/>
          <w:lang w:val="en-US"/>
        </w:rPr>
        <w:t>EAGLE</w:t>
      </w:r>
    </w:p>
    <w:p w14:paraId="298826F1" w14:textId="00C41964" w:rsidR="001A4DFE" w:rsidRPr="009A2AEF" w:rsidRDefault="00C52FD8" w:rsidP="009A2AEF">
      <w:pPr>
        <w:spacing w:line="360" w:lineRule="auto"/>
        <w:jc w:val="both"/>
        <w:rPr>
          <w:rFonts w:eastAsia="仿宋_GB2312"/>
          <w:bCs/>
          <w:sz w:val="28"/>
          <w:szCs w:val="28"/>
          <w:lang w:val="en-US"/>
        </w:rPr>
      </w:pPr>
      <w:r>
        <w:rPr>
          <w:rFonts w:eastAsia="仿宋_GB2312"/>
          <w:bCs/>
          <w:sz w:val="28"/>
          <w:szCs w:val="28"/>
          <w:lang w:val="en-US"/>
        </w:rPr>
        <w:t xml:space="preserve">The target </w:t>
      </w:r>
      <w:r w:rsidR="00F151F3">
        <w:rPr>
          <w:rFonts w:eastAsia="仿宋_GB2312"/>
          <w:bCs/>
          <w:sz w:val="28"/>
          <w:szCs w:val="28"/>
          <w:lang w:val="en-US"/>
        </w:rPr>
        <w:t xml:space="preserve">company for this project, </w:t>
      </w:r>
      <w:proofErr w:type="spellStart"/>
      <w:r w:rsidR="00F151F3">
        <w:rPr>
          <w:rFonts w:eastAsia="仿宋_GB2312"/>
          <w:bCs/>
          <w:sz w:val="28"/>
          <w:szCs w:val="28"/>
          <w:lang w:val="en-US"/>
        </w:rPr>
        <w:t>Invista</w:t>
      </w:r>
      <w:proofErr w:type="spellEnd"/>
      <w:r w:rsidR="00F151F3">
        <w:rPr>
          <w:rFonts w:eastAsia="仿宋_GB2312"/>
          <w:bCs/>
          <w:sz w:val="28"/>
          <w:szCs w:val="28"/>
          <w:lang w:val="en-US"/>
        </w:rPr>
        <w:t>, holds the LYCRA brand and technology</w:t>
      </w:r>
      <w:r>
        <w:rPr>
          <w:rFonts w:eastAsia="仿宋_GB2312"/>
          <w:bCs/>
          <w:sz w:val="28"/>
          <w:szCs w:val="28"/>
          <w:lang w:val="en-US"/>
        </w:rPr>
        <w:t xml:space="preserve">, </w:t>
      </w:r>
      <w:r w:rsidR="00F151F3">
        <w:rPr>
          <w:rFonts w:eastAsia="仿宋_GB2312"/>
          <w:bCs/>
          <w:sz w:val="28"/>
          <w:szCs w:val="28"/>
          <w:lang w:val="en-US"/>
        </w:rPr>
        <w:t xml:space="preserve">and is </w:t>
      </w:r>
      <w:r w:rsidR="009556E2" w:rsidRPr="006A7FD4">
        <w:rPr>
          <w:rFonts w:eastAsia="仿宋_GB2312"/>
          <w:bCs/>
          <w:sz w:val="28"/>
          <w:szCs w:val="28"/>
          <w:lang w:val="en-US"/>
        </w:rPr>
        <w:t xml:space="preserve">the world's </w:t>
      </w:r>
      <w:r w:rsidR="00F151F3">
        <w:rPr>
          <w:rFonts w:eastAsia="仿宋_GB2312"/>
          <w:bCs/>
          <w:sz w:val="28"/>
          <w:szCs w:val="28"/>
          <w:lang w:val="en-US"/>
        </w:rPr>
        <w:t>leading</w:t>
      </w:r>
      <w:r w:rsidR="009556E2" w:rsidRPr="006A7FD4">
        <w:rPr>
          <w:rFonts w:eastAsia="仿宋_GB2312"/>
          <w:bCs/>
          <w:sz w:val="28"/>
          <w:szCs w:val="28"/>
          <w:lang w:val="en-US"/>
        </w:rPr>
        <w:t xml:space="preserve"> spandex fiber</w:t>
      </w:r>
      <w:r w:rsidR="00FB69F0">
        <w:rPr>
          <w:rFonts w:eastAsia="仿宋_GB2312"/>
          <w:bCs/>
          <w:sz w:val="28"/>
          <w:szCs w:val="28"/>
          <w:lang w:val="en-US"/>
        </w:rPr>
        <w:t xml:space="preserve"> maker</w:t>
      </w:r>
      <w:r w:rsidR="009556E2" w:rsidRPr="006A7FD4">
        <w:rPr>
          <w:rFonts w:eastAsia="仿宋_GB2312"/>
          <w:bCs/>
          <w:sz w:val="28"/>
          <w:szCs w:val="28"/>
          <w:lang w:val="en-US"/>
        </w:rPr>
        <w:t xml:space="preserve">. The acquisition was initiated by Shandong </w:t>
      </w:r>
      <w:proofErr w:type="spellStart"/>
      <w:r w:rsidR="009556E2" w:rsidRPr="006A7FD4">
        <w:rPr>
          <w:rFonts w:eastAsia="仿宋_GB2312"/>
          <w:bCs/>
          <w:sz w:val="28"/>
          <w:szCs w:val="28"/>
          <w:lang w:val="en-US"/>
        </w:rPr>
        <w:t>Ruyi</w:t>
      </w:r>
      <w:proofErr w:type="spellEnd"/>
      <w:r w:rsidR="009556E2" w:rsidRPr="006A7FD4">
        <w:rPr>
          <w:rFonts w:eastAsia="仿宋_GB2312"/>
          <w:bCs/>
          <w:sz w:val="28"/>
          <w:szCs w:val="28"/>
          <w:lang w:val="en-US"/>
        </w:rPr>
        <w:t xml:space="preserve"> Group</w:t>
      </w:r>
      <w:r w:rsidR="00E66C0F">
        <w:rPr>
          <w:rFonts w:eastAsia="仿宋_GB2312"/>
          <w:bCs/>
          <w:sz w:val="28"/>
          <w:szCs w:val="28"/>
          <w:lang w:val="en-US"/>
        </w:rPr>
        <w:t xml:space="preserve"> (“</w:t>
      </w:r>
      <w:proofErr w:type="spellStart"/>
      <w:r w:rsidR="00E66C0F" w:rsidRPr="005F5823">
        <w:rPr>
          <w:rFonts w:eastAsia="仿宋_GB2312"/>
          <w:b/>
          <w:bCs/>
          <w:sz w:val="28"/>
          <w:szCs w:val="28"/>
          <w:lang w:val="en-US"/>
        </w:rPr>
        <w:t>Ruyi</w:t>
      </w:r>
      <w:proofErr w:type="spellEnd"/>
      <w:r w:rsidR="00E66C0F">
        <w:rPr>
          <w:rFonts w:eastAsia="仿宋_GB2312"/>
          <w:bCs/>
          <w:sz w:val="28"/>
          <w:szCs w:val="28"/>
          <w:lang w:val="en-US"/>
        </w:rPr>
        <w:t>”</w:t>
      </w:r>
      <w:r w:rsidR="00E66C0F">
        <w:rPr>
          <w:rFonts w:eastAsia="仿宋_GB2312" w:hint="eastAsia"/>
          <w:bCs/>
          <w:sz w:val="28"/>
          <w:szCs w:val="28"/>
          <w:lang w:val="en-US"/>
        </w:rPr>
        <w:t>)</w:t>
      </w:r>
      <w:r w:rsidR="009556E2" w:rsidRPr="006A7FD4">
        <w:rPr>
          <w:rFonts w:eastAsia="仿宋_GB2312"/>
          <w:bCs/>
          <w:sz w:val="28"/>
          <w:szCs w:val="28"/>
          <w:lang w:val="en-US"/>
        </w:rPr>
        <w:t xml:space="preserve">, </w:t>
      </w:r>
      <w:r w:rsidR="00E66C0F">
        <w:rPr>
          <w:rFonts w:eastAsia="仿宋_GB2312"/>
          <w:bCs/>
          <w:sz w:val="28"/>
          <w:szCs w:val="28"/>
          <w:lang w:val="en-US"/>
        </w:rPr>
        <w:t>a leading player in</w:t>
      </w:r>
      <w:r w:rsidR="009556E2" w:rsidRPr="006A7FD4">
        <w:rPr>
          <w:rFonts w:eastAsia="仿宋_GB2312"/>
          <w:bCs/>
          <w:sz w:val="28"/>
          <w:szCs w:val="28"/>
          <w:lang w:val="en-US"/>
        </w:rPr>
        <w:t xml:space="preserve"> China's tex</w:t>
      </w:r>
      <w:r w:rsidR="00FB69F0">
        <w:rPr>
          <w:rFonts w:eastAsia="仿宋_GB2312"/>
          <w:bCs/>
          <w:sz w:val="28"/>
          <w:szCs w:val="28"/>
          <w:lang w:val="en-US"/>
        </w:rPr>
        <w:t>tile and apparel industry</w:t>
      </w:r>
      <w:r w:rsidR="00E66C0F">
        <w:rPr>
          <w:rFonts w:eastAsia="仿宋_GB2312"/>
          <w:bCs/>
          <w:sz w:val="28"/>
          <w:szCs w:val="28"/>
          <w:lang w:val="en-US"/>
        </w:rPr>
        <w:t xml:space="preserve"> with a strong track record of overseas M&amp;A</w:t>
      </w:r>
      <w:r w:rsidR="00FB69F0">
        <w:rPr>
          <w:rFonts w:eastAsia="仿宋_GB2312"/>
          <w:bCs/>
          <w:sz w:val="28"/>
          <w:szCs w:val="28"/>
          <w:lang w:val="en-US"/>
        </w:rPr>
        <w:t xml:space="preserve">. </w:t>
      </w:r>
      <w:r w:rsidR="00E66C0F">
        <w:rPr>
          <w:rFonts w:eastAsia="仿宋_GB2312"/>
          <w:bCs/>
          <w:sz w:val="28"/>
          <w:szCs w:val="28"/>
          <w:lang w:val="en-US"/>
        </w:rPr>
        <w:t xml:space="preserve"> BHR sought to form a deal fund with </w:t>
      </w:r>
      <w:r>
        <w:rPr>
          <w:rFonts w:eastAsia="仿宋_GB2312"/>
          <w:bCs/>
          <w:sz w:val="28"/>
          <w:szCs w:val="28"/>
          <w:lang w:val="en-US"/>
        </w:rPr>
        <w:t>CNIC</w:t>
      </w:r>
      <w:r w:rsidR="00E66C0F">
        <w:rPr>
          <w:rFonts w:eastAsia="仿宋_GB2312"/>
          <w:bCs/>
          <w:sz w:val="28"/>
          <w:szCs w:val="28"/>
          <w:lang w:val="en-US"/>
        </w:rPr>
        <w:t xml:space="preserve"> to co-invest alongside </w:t>
      </w:r>
      <w:proofErr w:type="spellStart"/>
      <w:r w:rsidR="00E66C0F">
        <w:rPr>
          <w:rFonts w:eastAsia="仿宋_GB2312"/>
          <w:bCs/>
          <w:sz w:val="28"/>
          <w:szCs w:val="28"/>
          <w:lang w:val="en-US"/>
        </w:rPr>
        <w:t>Ruyi</w:t>
      </w:r>
      <w:proofErr w:type="spellEnd"/>
      <w:r w:rsidR="00E66C0F">
        <w:rPr>
          <w:rFonts w:eastAsia="仿宋_GB2312"/>
          <w:bCs/>
          <w:sz w:val="28"/>
          <w:szCs w:val="28"/>
          <w:lang w:val="en-US"/>
        </w:rPr>
        <w:t xml:space="preserve">, although CNIC </w:t>
      </w:r>
      <w:r w:rsidR="00FB69F0">
        <w:rPr>
          <w:rFonts w:eastAsia="仿宋_GB2312"/>
          <w:bCs/>
          <w:sz w:val="28"/>
          <w:szCs w:val="28"/>
          <w:lang w:val="en-US"/>
        </w:rPr>
        <w:t>had</w:t>
      </w:r>
      <w:r w:rsidR="009556E2" w:rsidRPr="006A7FD4">
        <w:rPr>
          <w:rFonts w:eastAsia="仿宋_GB2312"/>
          <w:bCs/>
          <w:sz w:val="28"/>
          <w:szCs w:val="28"/>
          <w:lang w:val="en-US"/>
        </w:rPr>
        <w:t xml:space="preserve"> direct</w:t>
      </w:r>
      <w:r w:rsidR="00FB69F0">
        <w:rPr>
          <w:rFonts w:eastAsia="仿宋_GB2312"/>
          <w:bCs/>
          <w:sz w:val="28"/>
          <w:szCs w:val="28"/>
          <w:lang w:val="en-US"/>
        </w:rPr>
        <w:t xml:space="preserve"> contact with </w:t>
      </w:r>
      <w:proofErr w:type="spellStart"/>
      <w:r w:rsidR="00FB69F0">
        <w:rPr>
          <w:rFonts w:eastAsia="仿宋_GB2312"/>
          <w:bCs/>
          <w:sz w:val="28"/>
          <w:szCs w:val="28"/>
          <w:lang w:val="en-US"/>
        </w:rPr>
        <w:t>Ruyi</w:t>
      </w:r>
      <w:proofErr w:type="spellEnd"/>
      <w:r w:rsidR="00FB69F0">
        <w:rPr>
          <w:rFonts w:eastAsia="仿宋_GB2312"/>
          <w:bCs/>
          <w:sz w:val="28"/>
          <w:szCs w:val="28"/>
          <w:lang w:val="en-US"/>
        </w:rPr>
        <w:t xml:space="preserve">, it was </w:t>
      </w:r>
      <w:r w:rsidR="009556E2" w:rsidRPr="006A7FD4">
        <w:rPr>
          <w:rFonts w:eastAsia="仿宋_GB2312"/>
          <w:bCs/>
          <w:sz w:val="28"/>
          <w:szCs w:val="28"/>
          <w:lang w:val="en-US"/>
        </w:rPr>
        <w:t xml:space="preserve">willing to participate </w:t>
      </w:r>
      <w:r>
        <w:rPr>
          <w:rFonts w:eastAsia="仿宋_GB2312"/>
          <w:bCs/>
          <w:sz w:val="28"/>
          <w:szCs w:val="28"/>
          <w:lang w:val="en-US"/>
        </w:rPr>
        <w:t xml:space="preserve">in the project through </w:t>
      </w:r>
      <w:r w:rsidR="00E66C0F">
        <w:rPr>
          <w:rFonts w:eastAsia="仿宋_GB2312"/>
          <w:bCs/>
          <w:sz w:val="28"/>
          <w:szCs w:val="28"/>
          <w:lang w:val="en-US"/>
        </w:rPr>
        <w:t xml:space="preserve">BHR’s deal </w:t>
      </w:r>
      <w:r>
        <w:rPr>
          <w:rFonts w:eastAsia="仿宋_GB2312"/>
          <w:bCs/>
          <w:sz w:val="28"/>
          <w:szCs w:val="28"/>
          <w:lang w:val="en-US"/>
        </w:rPr>
        <w:t>fund</w:t>
      </w:r>
      <w:r w:rsidR="00414D4E">
        <w:rPr>
          <w:rFonts w:eastAsia="仿宋_GB2312"/>
          <w:bCs/>
          <w:sz w:val="28"/>
          <w:szCs w:val="28"/>
          <w:lang w:val="en-US"/>
        </w:rPr>
        <w:t>. Subsequently</w:t>
      </w:r>
      <w:r w:rsidR="009556E2" w:rsidRPr="006A7FD4">
        <w:rPr>
          <w:rFonts w:eastAsia="仿宋_GB2312"/>
          <w:bCs/>
          <w:sz w:val="28"/>
          <w:szCs w:val="28"/>
          <w:lang w:val="en-US"/>
        </w:rPr>
        <w:t xml:space="preserve">, </w:t>
      </w:r>
      <w:r w:rsidR="004F2819">
        <w:rPr>
          <w:rFonts w:eastAsia="仿宋_GB2312"/>
          <w:bCs/>
          <w:sz w:val="28"/>
          <w:szCs w:val="28"/>
          <w:lang w:val="en-US"/>
        </w:rPr>
        <w:t xml:space="preserve">BHR and CNIC decided not to co-invest with </w:t>
      </w:r>
      <w:proofErr w:type="spellStart"/>
      <w:r w:rsidR="004F2819">
        <w:rPr>
          <w:rFonts w:eastAsia="仿宋_GB2312"/>
          <w:bCs/>
          <w:sz w:val="28"/>
          <w:szCs w:val="28"/>
          <w:lang w:val="en-US"/>
        </w:rPr>
        <w:t>Ruyi</w:t>
      </w:r>
      <w:proofErr w:type="spellEnd"/>
      <w:r w:rsidR="004F2819">
        <w:rPr>
          <w:rFonts w:eastAsia="仿宋_GB2312"/>
          <w:bCs/>
          <w:sz w:val="28"/>
          <w:szCs w:val="28"/>
          <w:lang w:val="en-US"/>
        </w:rPr>
        <w:t xml:space="preserve"> as the parties were not able to come to an agreement on buyback and buyback security arrangements if the proposed IPO failed to occur within the stipulated timeline</w:t>
      </w:r>
      <w:r w:rsidR="009556E2" w:rsidRPr="006A7FD4">
        <w:rPr>
          <w:rFonts w:eastAsia="仿宋_GB2312"/>
          <w:bCs/>
          <w:sz w:val="28"/>
          <w:szCs w:val="28"/>
          <w:lang w:val="en-US"/>
        </w:rPr>
        <w:t>.</w:t>
      </w:r>
      <w:r w:rsidR="004C6E63" w:rsidRPr="009A2AEF">
        <w:rPr>
          <w:rFonts w:eastAsia="仿宋_GB2312" w:hint="eastAsia"/>
          <w:bCs/>
          <w:sz w:val="28"/>
          <w:szCs w:val="28"/>
          <w:lang w:val="en-US"/>
        </w:rPr>
        <w:t xml:space="preserve"> </w:t>
      </w:r>
      <w:r w:rsidR="004F2819">
        <w:rPr>
          <w:rFonts w:eastAsia="仿宋_GB2312"/>
          <w:bCs/>
          <w:sz w:val="28"/>
          <w:szCs w:val="28"/>
          <w:lang w:val="en-US"/>
        </w:rPr>
        <w:t xml:space="preserve">We understand the investment has received CFIUS approval but closing remains pending. </w:t>
      </w:r>
    </w:p>
    <w:p w14:paraId="31E3DE28" w14:textId="7E0ECD1E" w:rsidR="00431E07" w:rsidRDefault="00C52FD8" w:rsidP="009A2AEF">
      <w:pPr>
        <w:spacing w:line="360" w:lineRule="auto"/>
        <w:jc w:val="both"/>
        <w:rPr>
          <w:rFonts w:eastAsia="仿宋_GB2312"/>
          <w:bCs/>
          <w:sz w:val="28"/>
          <w:szCs w:val="28"/>
          <w:lang w:val="en-US"/>
        </w:rPr>
      </w:pPr>
      <w:r>
        <w:rPr>
          <w:rFonts w:eastAsia="仿宋_GB2312"/>
          <w:bCs/>
          <w:sz w:val="28"/>
          <w:szCs w:val="28"/>
          <w:lang w:val="en-US"/>
        </w:rPr>
        <w:t>Other cross-border projects</w:t>
      </w:r>
      <w:r w:rsidR="00431E07">
        <w:rPr>
          <w:rFonts w:eastAsia="仿宋_GB2312"/>
          <w:bCs/>
          <w:sz w:val="28"/>
          <w:szCs w:val="28"/>
          <w:lang w:val="en-US"/>
        </w:rPr>
        <w:t xml:space="preserve"> that were actively pursued included:</w:t>
      </w:r>
    </w:p>
    <w:p w14:paraId="400A94AE" w14:textId="6660D500" w:rsidR="00431E07" w:rsidRDefault="009556E2" w:rsidP="009A2AEF">
      <w:pPr>
        <w:spacing w:line="360" w:lineRule="auto"/>
        <w:jc w:val="both"/>
        <w:rPr>
          <w:rFonts w:eastAsia="仿宋_GB2312"/>
          <w:bCs/>
          <w:sz w:val="28"/>
          <w:szCs w:val="28"/>
          <w:lang w:val="en-US"/>
        </w:rPr>
      </w:pPr>
      <w:r w:rsidRPr="005F5823">
        <w:rPr>
          <w:rFonts w:eastAsia="仿宋_GB2312"/>
          <w:b/>
          <w:bCs/>
          <w:sz w:val="28"/>
          <w:szCs w:val="28"/>
          <w:lang w:val="en-US"/>
        </w:rPr>
        <w:t>Project</w:t>
      </w:r>
      <w:r w:rsidR="00C52FD8" w:rsidRPr="005F5823">
        <w:rPr>
          <w:rFonts w:eastAsia="仿宋_GB2312"/>
          <w:b/>
          <w:bCs/>
          <w:sz w:val="28"/>
          <w:szCs w:val="28"/>
          <w:lang w:val="en-US"/>
        </w:rPr>
        <w:t xml:space="preserve"> Rhino</w:t>
      </w:r>
      <w:r w:rsidR="008A1E45">
        <w:rPr>
          <w:rFonts w:eastAsia="仿宋_GB2312"/>
          <w:bCs/>
          <w:sz w:val="28"/>
          <w:szCs w:val="28"/>
          <w:lang w:val="en-US"/>
        </w:rPr>
        <w:t xml:space="preserve">: </w:t>
      </w:r>
      <w:r w:rsidRPr="009556E2">
        <w:rPr>
          <w:rFonts w:eastAsia="仿宋_GB2312"/>
          <w:bCs/>
          <w:sz w:val="28"/>
          <w:szCs w:val="28"/>
          <w:lang w:val="en-US"/>
        </w:rPr>
        <w:t xml:space="preserve">a </w:t>
      </w:r>
      <w:r w:rsidR="00431E07">
        <w:rPr>
          <w:rFonts w:eastAsia="仿宋_GB2312"/>
          <w:bCs/>
          <w:sz w:val="28"/>
          <w:szCs w:val="28"/>
          <w:lang w:val="en-US"/>
        </w:rPr>
        <w:t xml:space="preserve">proposed </w:t>
      </w:r>
      <w:r w:rsidR="008A1E45">
        <w:rPr>
          <w:rFonts w:eastAsia="仿宋_GB2312"/>
          <w:bCs/>
          <w:sz w:val="28"/>
          <w:szCs w:val="28"/>
          <w:lang w:val="en-US"/>
        </w:rPr>
        <w:t>joint investment between the C</w:t>
      </w:r>
      <w:r w:rsidR="00C52FD8">
        <w:rPr>
          <w:rFonts w:eastAsia="仿宋_GB2312"/>
          <w:bCs/>
          <w:sz w:val="28"/>
          <w:szCs w:val="28"/>
          <w:lang w:val="en-US"/>
        </w:rPr>
        <w:t>ompa</w:t>
      </w:r>
      <w:r w:rsidR="008A1E45">
        <w:rPr>
          <w:rFonts w:eastAsia="仿宋_GB2312"/>
          <w:bCs/>
          <w:sz w:val="28"/>
          <w:szCs w:val="28"/>
          <w:lang w:val="en-US"/>
        </w:rPr>
        <w:t>ny and a Chinese listed company to acquire</w:t>
      </w:r>
      <w:r w:rsidRPr="009556E2">
        <w:rPr>
          <w:rFonts w:eastAsia="仿宋_GB2312"/>
          <w:bCs/>
          <w:sz w:val="28"/>
          <w:szCs w:val="28"/>
          <w:lang w:val="en-US"/>
        </w:rPr>
        <w:t xml:space="preserve"> a world-class large-scale </w:t>
      </w:r>
      <w:r w:rsidR="004C6E63">
        <w:rPr>
          <w:rFonts w:eastAsia="仿宋_GB2312"/>
          <w:bCs/>
          <w:sz w:val="28"/>
          <w:szCs w:val="28"/>
          <w:lang w:val="en-US"/>
        </w:rPr>
        <w:t>gold</w:t>
      </w:r>
      <w:r w:rsidR="004C6E63" w:rsidRPr="009556E2">
        <w:rPr>
          <w:rFonts w:eastAsia="仿宋_GB2312"/>
          <w:bCs/>
          <w:sz w:val="28"/>
          <w:szCs w:val="28"/>
          <w:lang w:val="en-US"/>
        </w:rPr>
        <w:t xml:space="preserve"> </w:t>
      </w:r>
      <w:r w:rsidRPr="009556E2">
        <w:rPr>
          <w:rFonts w:eastAsia="仿宋_GB2312"/>
          <w:bCs/>
          <w:sz w:val="28"/>
          <w:szCs w:val="28"/>
          <w:lang w:val="en-US"/>
        </w:rPr>
        <w:t xml:space="preserve">mine in Southeast Asia with a total </w:t>
      </w:r>
      <w:r w:rsidR="00C52FD8">
        <w:rPr>
          <w:rFonts w:eastAsia="仿宋_GB2312"/>
          <w:bCs/>
          <w:sz w:val="28"/>
          <w:szCs w:val="28"/>
          <w:lang w:val="en-US"/>
        </w:rPr>
        <w:t xml:space="preserve">transaction consideration of USD </w:t>
      </w:r>
      <w:r w:rsidRPr="009556E2">
        <w:rPr>
          <w:rFonts w:eastAsia="仿宋_GB2312"/>
          <w:bCs/>
          <w:sz w:val="28"/>
          <w:szCs w:val="28"/>
          <w:lang w:val="en-US"/>
        </w:rPr>
        <w:t xml:space="preserve">960 million. </w:t>
      </w:r>
      <w:r w:rsidR="00431E07">
        <w:rPr>
          <w:rFonts w:eastAsia="仿宋_GB2312"/>
          <w:bCs/>
          <w:sz w:val="28"/>
          <w:szCs w:val="28"/>
          <w:lang w:val="en-US"/>
        </w:rPr>
        <w:t>Our investment committee expressed concerns about our co-investor</w:t>
      </w:r>
      <w:r w:rsidR="00C767BC">
        <w:rPr>
          <w:rFonts w:eastAsia="仿宋_GB2312"/>
          <w:bCs/>
          <w:sz w:val="28"/>
          <w:szCs w:val="28"/>
          <w:lang w:val="en-US"/>
        </w:rPr>
        <w:t>’s fundraising ability and high leverage ratio.</w:t>
      </w:r>
      <w:r w:rsidR="00431E07">
        <w:rPr>
          <w:rFonts w:eastAsia="仿宋_GB2312"/>
          <w:bCs/>
          <w:sz w:val="28"/>
          <w:szCs w:val="28"/>
          <w:lang w:val="en-US"/>
        </w:rPr>
        <w:t xml:space="preserve"> </w:t>
      </w:r>
      <w:r w:rsidR="00C767BC">
        <w:rPr>
          <w:rFonts w:eastAsia="仿宋_GB2312"/>
          <w:bCs/>
          <w:sz w:val="28"/>
          <w:szCs w:val="28"/>
          <w:lang w:val="en-US"/>
        </w:rPr>
        <w:t xml:space="preserve"> T</w:t>
      </w:r>
      <w:r w:rsidR="00431E07">
        <w:rPr>
          <w:rFonts w:eastAsia="仿宋_GB2312"/>
          <w:bCs/>
          <w:sz w:val="28"/>
          <w:szCs w:val="28"/>
          <w:lang w:val="en-US"/>
        </w:rPr>
        <w:t xml:space="preserve">he </w:t>
      </w:r>
      <w:r w:rsidR="00C767BC">
        <w:rPr>
          <w:rFonts w:eastAsia="仿宋_GB2312"/>
          <w:bCs/>
          <w:sz w:val="28"/>
          <w:szCs w:val="28"/>
          <w:lang w:val="en-US"/>
        </w:rPr>
        <w:t>target</w:t>
      </w:r>
      <w:r w:rsidR="00431E07">
        <w:rPr>
          <w:rFonts w:eastAsia="仿宋_GB2312"/>
          <w:bCs/>
          <w:sz w:val="28"/>
          <w:szCs w:val="28"/>
          <w:lang w:val="en-US"/>
        </w:rPr>
        <w:t xml:space="preserve"> was eventually </w:t>
      </w:r>
      <w:r w:rsidR="00C767BC">
        <w:rPr>
          <w:rFonts w:eastAsia="仿宋_GB2312"/>
          <w:bCs/>
          <w:sz w:val="28"/>
          <w:szCs w:val="28"/>
          <w:lang w:val="en-US"/>
        </w:rPr>
        <w:t xml:space="preserve">acquired </w:t>
      </w:r>
      <w:r w:rsidR="00431E07">
        <w:rPr>
          <w:rFonts w:eastAsia="仿宋_GB2312"/>
          <w:bCs/>
          <w:sz w:val="28"/>
          <w:szCs w:val="28"/>
          <w:lang w:val="en-US"/>
        </w:rPr>
        <w:t>by another bidder a</w:t>
      </w:r>
      <w:r w:rsidR="00431E07" w:rsidRPr="009556E2">
        <w:rPr>
          <w:rFonts w:eastAsia="仿宋_GB2312"/>
          <w:bCs/>
          <w:sz w:val="28"/>
          <w:szCs w:val="28"/>
          <w:lang w:val="en-US"/>
        </w:rPr>
        <w:t xml:space="preserve">s </w:t>
      </w:r>
      <w:r w:rsidRPr="009556E2">
        <w:rPr>
          <w:rFonts w:eastAsia="仿宋_GB2312"/>
          <w:bCs/>
          <w:sz w:val="28"/>
          <w:szCs w:val="28"/>
          <w:lang w:val="en-US"/>
        </w:rPr>
        <w:t>the l</w:t>
      </w:r>
      <w:r w:rsidR="003235C0">
        <w:rPr>
          <w:rFonts w:eastAsia="仿宋_GB2312"/>
          <w:bCs/>
          <w:sz w:val="28"/>
          <w:szCs w:val="28"/>
          <w:lang w:val="en-US"/>
        </w:rPr>
        <w:t>isted company</w:t>
      </w:r>
      <w:r w:rsidR="00431E07">
        <w:rPr>
          <w:rFonts w:eastAsia="仿宋_GB2312"/>
          <w:bCs/>
          <w:sz w:val="28"/>
          <w:szCs w:val="28"/>
          <w:lang w:val="en-US"/>
        </w:rPr>
        <w:t xml:space="preserve"> failed to secure its </w:t>
      </w:r>
      <w:r w:rsidR="003235C0">
        <w:rPr>
          <w:rFonts w:eastAsia="仿宋_GB2312"/>
          <w:bCs/>
          <w:sz w:val="28"/>
          <w:szCs w:val="28"/>
          <w:lang w:val="en-US"/>
        </w:rPr>
        <w:t>own financing</w:t>
      </w:r>
      <w:r w:rsidR="00431E07">
        <w:rPr>
          <w:rFonts w:eastAsia="仿宋_GB2312"/>
          <w:bCs/>
          <w:sz w:val="28"/>
          <w:szCs w:val="28"/>
          <w:lang w:val="en-US"/>
        </w:rPr>
        <w:t xml:space="preserve"> in time</w:t>
      </w:r>
      <w:r w:rsidR="003235C0">
        <w:rPr>
          <w:rFonts w:eastAsia="仿宋_GB2312"/>
          <w:bCs/>
          <w:sz w:val="28"/>
          <w:szCs w:val="28"/>
          <w:lang w:val="en-US"/>
        </w:rPr>
        <w:t xml:space="preserve">. </w:t>
      </w:r>
    </w:p>
    <w:p w14:paraId="22D1C904" w14:textId="632F439F" w:rsidR="006F3F9E" w:rsidRDefault="003235C0" w:rsidP="009A2AEF">
      <w:pPr>
        <w:spacing w:line="360" w:lineRule="auto"/>
        <w:jc w:val="both"/>
        <w:rPr>
          <w:rFonts w:eastAsia="仿宋_GB2312"/>
          <w:bCs/>
          <w:sz w:val="28"/>
          <w:szCs w:val="28"/>
          <w:lang w:val="en-US"/>
        </w:rPr>
      </w:pPr>
      <w:r w:rsidRPr="005F5823">
        <w:rPr>
          <w:rFonts w:eastAsia="仿宋_GB2312"/>
          <w:b/>
          <w:bCs/>
          <w:sz w:val="28"/>
          <w:szCs w:val="28"/>
          <w:lang w:val="en-US"/>
        </w:rPr>
        <w:lastRenderedPageBreak/>
        <w:t xml:space="preserve">Project </w:t>
      </w:r>
      <w:r w:rsidR="008A1E45" w:rsidRPr="005F5823">
        <w:rPr>
          <w:rFonts w:eastAsia="仿宋_GB2312"/>
          <w:b/>
          <w:bCs/>
          <w:sz w:val="28"/>
          <w:szCs w:val="28"/>
          <w:lang w:val="en-US"/>
        </w:rPr>
        <w:t>Platinum</w:t>
      </w:r>
      <w:r w:rsidR="008A1E45">
        <w:rPr>
          <w:rFonts w:eastAsia="仿宋_GB2312"/>
          <w:bCs/>
          <w:sz w:val="28"/>
          <w:szCs w:val="28"/>
          <w:lang w:val="en-US"/>
        </w:rPr>
        <w:t>: the target company is a</w:t>
      </w:r>
      <w:r w:rsidR="009556E2" w:rsidRPr="009556E2">
        <w:rPr>
          <w:rFonts w:eastAsia="仿宋_GB2312"/>
          <w:bCs/>
          <w:sz w:val="28"/>
          <w:szCs w:val="28"/>
          <w:lang w:val="en-US"/>
        </w:rPr>
        <w:t xml:space="preserve"> world's leading vacuum automation company headquartered in Sweden. </w:t>
      </w:r>
      <w:r w:rsidR="00D76978">
        <w:rPr>
          <w:rFonts w:eastAsia="仿宋_GB2312"/>
          <w:bCs/>
          <w:sz w:val="28"/>
          <w:szCs w:val="28"/>
          <w:lang w:val="en-US"/>
        </w:rPr>
        <w:t>The C</w:t>
      </w:r>
      <w:r>
        <w:rPr>
          <w:rFonts w:eastAsia="仿宋_GB2312"/>
          <w:bCs/>
          <w:sz w:val="28"/>
          <w:szCs w:val="28"/>
          <w:lang w:val="en-US"/>
        </w:rPr>
        <w:t>ompany and a Chinese listed company in</w:t>
      </w:r>
      <w:r w:rsidR="009556E2" w:rsidRPr="009556E2">
        <w:rPr>
          <w:rFonts w:eastAsia="仿宋_GB2312"/>
          <w:bCs/>
          <w:sz w:val="28"/>
          <w:szCs w:val="28"/>
          <w:lang w:val="en-US"/>
        </w:rPr>
        <w:t xml:space="preserve"> </w:t>
      </w:r>
      <w:r w:rsidR="00D76978">
        <w:rPr>
          <w:rFonts w:eastAsia="仿宋_GB2312"/>
          <w:bCs/>
          <w:sz w:val="28"/>
          <w:szCs w:val="28"/>
          <w:lang w:val="en-US"/>
        </w:rPr>
        <w:t xml:space="preserve">the </w:t>
      </w:r>
      <w:r w:rsidR="004C6E63" w:rsidRPr="009556E2">
        <w:rPr>
          <w:rFonts w:eastAsia="仿宋_GB2312"/>
          <w:bCs/>
          <w:sz w:val="28"/>
          <w:szCs w:val="28"/>
          <w:lang w:val="en-US"/>
        </w:rPr>
        <w:t>intelligent</w:t>
      </w:r>
      <w:r w:rsidR="004C6E63" w:rsidRPr="009556E2" w:rsidDel="004C6E63">
        <w:rPr>
          <w:rFonts w:eastAsia="仿宋_GB2312"/>
          <w:bCs/>
          <w:sz w:val="28"/>
          <w:szCs w:val="28"/>
          <w:lang w:val="en-US"/>
        </w:rPr>
        <w:t xml:space="preserve"> </w:t>
      </w:r>
      <w:r w:rsidR="009556E2" w:rsidRPr="009556E2">
        <w:rPr>
          <w:rFonts w:eastAsia="仿宋_GB2312"/>
          <w:bCs/>
          <w:sz w:val="28"/>
          <w:szCs w:val="28"/>
          <w:lang w:val="en-US"/>
        </w:rPr>
        <w:t>manufacturing</w:t>
      </w:r>
      <w:r w:rsidR="00D76978">
        <w:rPr>
          <w:rFonts w:eastAsia="仿宋_GB2312"/>
          <w:bCs/>
          <w:sz w:val="28"/>
          <w:szCs w:val="28"/>
          <w:lang w:val="en-US"/>
        </w:rPr>
        <w:t xml:space="preserve"> field</w:t>
      </w:r>
      <w:r>
        <w:rPr>
          <w:rFonts w:eastAsia="仿宋_GB2312"/>
          <w:bCs/>
          <w:sz w:val="28"/>
          <w:szCs w:val="28"/>
          <w:lang w:val="en-US"/>
        </w:rPr>
        <w:t xml:space="preserve"> jointly participated in the bidding</w:t>
      </w:r>
      <w:r w:rsidR="006F3F9E">
        <w:rPr>
          <w:rFonts w:eastAsia="仿宋_GB2312"/>
          <w:bCs/>
          <w:sz w:val="28"/>
          <w:szCs w:val="28"/>
          <w:lang w:val="en-US"/>
        </w:rPr>
        <w:t xml:space="preserve"> process</w:t>
      </w:r>
      <w:r>
        <w:rPr>
          <w:rFonts w:eastAsia="仿宋_GB2312"/>
          <w:bCs/>
          <w:sz w:val="28"/>
          <w:szCs w:val="28"/>
          <w:lang w:val="en-US"/>
        </w:rPr>
        <w:t xml:space="preserve">. However, </w:t>
      </w:r>
      <w:r w:rsidR="009556E2" w:rsidRPr="009556E2">
        <w:rPr>
          <w:rFonts w:eastAsia="仿宋_GB2312"/>
          <w:bCs/>
          <w:sz w:val="28"/>
          <w:szCs w:val="28"/>
          <w:lang w:val="en-US"/>
        </w:rPr>
        <w:t xml:space="preserve">due to </w:t>
      </w:r>
      <w:r w:rsidR="00D76978">
        <w:rPr>
          <w:rFonts w:eastAsia="仿宋_GB2312"/>
          <w:bCs/>
          <w:sz w:val="28"/>
          <w:szCs w:val="28"/>
          <w:lang w:val="en-US"/>
        </w:rPr>
        <w:t>high quality and competitiveness of the target company’s underlying asset</w:t>
      </w:r>
      <w:r w:rsidR="009556E2" w:rsidRPr="009556E2">
        <w:rPr>
          <w:rFonts w:eastAsia="仿宋_GB2312"/>
          <w:bCs/>
          <w:sz w:val="28"/>
          <w:szCs w:val="28"/>
          <w:lang w:val="en-US"/>
        </w:rPr>
        <w:t xml:space="preserve">, </w:t>
      </w:r>
      <w:r w:rsidR="006F3F9E">
        <w:rPr>
          <w:rFonts w:eastAsia="仿宋_GB2312"/>
          <w:bCs/>
          <w:sz w:val="28"/>
          <w:szCs w:val="28"/>
          <w:lang w:val="en-US"/>
        </w:rPr>
        <w:t xml:space="preserve">our consortium lost out to </w:t>
      </w:r>
      <w:r w:rsidR="006F3F9E" w:rsidRPr="009556E2">
        <w:rPr>
          <w:rFonts w:eastAsia="仿宋_GB2312"/>
          <w:bCs/>
          <w:sz w:val="28"/>
          <w:szCs w:val="28"/>
          <w:lang w:val="en-US"/>
        </w:rPr>
        <w:t>competi</w:t>
      </w:r>
      <w:r w:rsidR="006F3F9E">
        <w:rPr>
          <w:rFonts w:eastAsia="仿宋_GB2312"/>
          <w:bCs/>
          <w:sz w:val="28"/>
          <w:szCs w:val="28"/>
          <w:lang w:val="en-US"/>
        </w:rPr>
        <w:t>ng</w:t>
      </w:r>
      <w:r w:rsidR="006F3F9E" w:rsidRPr="009556E2">
        <w:rPr>
          <w:rFonts w:eastAsia="仿宋_GB2312"/>
          <w:bCs/>
          <w:sz w:val="28"/>
          <w:szCs w:val="28"/>
          <w:lang w:val="en-US"/>
        </w:rPr>
        <w:t xml:space="preserve"> </w:t>
      </w:r>
      <w:r w:rsidR="009556E2" w:rsidRPr="009556E2">
        <w:rPr>
          <w:rFonts w:eastAsia="仿宋_GB2312"/>
          <w:bCs/>
          <w:sz w:val="28"/>
          <w:szCs w:val="28"/>
          <w:lang w:val="en-US"/>
        </w:rPr>
        <w:t>bid</w:t>
      </w:r>
      <w:r w:rsidR="006F3F9E">
        <w:rPr>
          <w:rFonts w:eastAsia="仿宋_GB2312"/>
          <w:bCs/>
          <w:sz w:val="28"/>
          <w:szCs w:val="28"/>
          <w:lang w:val="en-US"/>
        </w:rPr>
        <w:t>s, which</w:t>
      </w:r>
      <w:r w:rsidR="009556E2" w:rsidRPr="009556E2">
        <w:rPr>
          <w:rFonts w:eastAsia="仿宋_GB2312"/>
          <w:bCs/>
          <w:sz w:val="28"/>
          <w:szCs w:val="28"/>
          <w:lang w:val="en-US"/>
        </w:rPr>
        <w:t xml:space="preserve"> was significant</w:t>
      </w:r>
      <w:r w:rsidR="00D76978">
        <w:rPr>
          <w:rFonts w:eastAsia="仿宋_GB2312"/>
          <w:bCs/>
          <w:sz w:val="28"/>
          <w:szCs w:val="28"/>
          <w:lang w:val="en-US"/>
        </w:rPr>
        <w:t>ly</w:t>
      </w:r>
      <w:r w:rsidR="006F3F9E">
        <w:rPr>
          <w:rFonts w:eastAsia="仿宋_GB2312"/>
          <w:bCs/>
          <w:sz w:val="28"/>
          <w:szCs w:val="28"/>
          <w:lang w:val="en-US"/>
        </w:rPr>
        <w:t xml:space="preserve"> above</w:t>
      </w:r>
      <w:r w:rsidR="00D76978">
        <w:rPr>
          <w:rFonts w:eastAsia="仿宋_GB2312"/>
          <w:bCs/>
          <w:sz w:val="28"/>
          <w:szCs w:val="28"/>
          <w:lang w:val="en-US"/>
        </w:rPr>
        <w:t xml:space="preserve"> fair market</w:t>
      </w:r>
      <w:r w:rsidR="004C6E63">
        <w:rPr>
          <w:rFonts w:eastAsia="仿宋_GB2312"/>
          <w:bCs/>
          <w:sz w:val="28"/>
          <w:szCs w:val="28"/>
          <w:lang w:val="en-US"/>
        </w:rPr>
        <w:t xml:space="preserve"> price</w:t>
      </w:r>
      <w:r>
        <w:rPr>
          <w:rFonts w:eastAsia="仿宋_GB2312"/>
          <w:bCs/>
          <w:sz w:val="28"/>
          <w:szCs w:val="28"/>
          <w:lang w:val="en-US"/>
        </w:rPr>
        <w:t>.</w:t>
      </w:r>
      <w:r w:rsidR="00034F0F" w:rsidDel="00034F0F">
        <w:rPr>
          <w:rFonts w:eastAsia="仿宋_GB2312"/>
          <w:bCs/>
          <w:sz w:val="28"/>
          <w:szCs w:val="28"/>
          <w:lang w:val="en-US"/>
        </w:rPr>
        <w:t xml:space="preserve"> </w:t>
      </w:r>
    </w:p>
    <w:p w14:paraId="457855EF" w14:textId="4C843FF1" w:rsidR="009556E2" w:rsidRDefault="003235C0" w:rsidP="009A2AEF">
      <w:pPr>
        <w:spacing w:line="360" w:lineRule="auto"/>
        <w:jc w:val="both"/>
        <w:rPr>
          <w:rFonts w:eastAsia="仿宋_GB2312"/>
          <w:bCs/>
          <w:sz w:val="28"/>
          <w:szCs w:val="28"/>
          <w:lang w:val="en-US"/>
        </w:rPr>
      </w:pPr>
      <w:r w:rsidRPr="005F5823">
        <w:rPr>
          <w:rFonts w:eastAsia="仿宋_GB2312"/>
          <w:b/>
          <w:bCs/>
          <w:sz w:val="28"/>
          <w:szCs w:val="28"/>
          <w:lang w:val="en-US"/>
        </w:rPr>
        <w:t xml:space="preserve">Project </w:t>
      </w:r>
      <w:r w:rsidR="009556E2" w:rsidRPr="005F5823">
        <w:rPr>
          <w:rFonts w:eastAsia="仿宋_GB2312"/>
          <w:b/>
          <w:bCs/>
          <w:sz w:val="28"/>
          <w:szCs w:val="28"/>
          <w:lang w:val="en-US"/>
        </w:rPr>
        <w:t>BPA</w:t>
      </w:r>
      <w:r w:rsidR="00D76978">
        <w:rPr>
          <w:rFonts w:eastAsia="仿宋_GB2312"/>
          <w:bCs/>
          <w:sz w:val="28"/>
          <w:szCs w:val="28"/>
          <w:lang w:val="en-US"/>
        </w:rPr>
        <w:t xml:space="preserve">: </w:t>
      </w:r>
      <w:r w:rsidR="006F3F9E">
        <w:rPr>
          <w:rFonts w:eastAsia="仿宋_GB2312"/>
          <w:bCs/>
          <w:sz w:val="28"/>
          <w:szCs w:val="28"/>
          <w:lang w:val="en-US"/>
        </w:rPr>
        <w:t xml:space="preserve">the </w:t>
      </w:r>
      <w:r w:rsidR="00D76978">
        <w:rPr>
          <w:rFonts w:eastAsia="仿宋_GB2312"/>
          <w:bCs/>
          <w:sz w:val="28"/>
          <w:szCs w:val="28"/>
          <w:lang w:val="en-US"/>
        </w:rPr>
        <w:t xml:space="preserve">target company </w:t>
      </w:r>
      <w:r w:rsidR="009556E2" w:rsidRPr="009556E2">
        <w:rPr>
          <w:rFonts w:eastAsia="仿宋_GB2312"/>
          <w:bCs/>
          <w:sz w:val="28"/>
          <w:szCs w:val="28"/>
          <w:lang w:val="en-US"/>
        </w:rPr>
        <w:t xml:space="preserve">is </w:t>
      </w:r>
      <w:r w:rsidR="006F3F9E">
        <w:rPr>
          <w:rFonts w:eastAsia="仿宋_GB2312"/>
          <w:bCs/>
          <w:sz w:val="28"/>
          <w:szCs w:val="28"/>
          <w:lang w:val="en-US"/>
        </w:rPr>
        <w:t>Europe’s</w:t>
      </w:r>
      <w:r w:rsidR="006F3F9E" w:rsidRPr="009556E2">
        <w:rPr>
          <w:rFonts w:eastAsia="仿宋_GB2312"/>
          <w:bCs/>
          <w:sz w:val="28"/>
          <w:szCs w:val="28"/>
          <w:lang w:val="en-US"/>
        </w:rPr>
        <w:t xml:space="preserve"> </w:t>
      </w:r>
      <w:r w:rsidR="009556E2" w:rsidRPr="009556E2">
        <w:rPr>
          <w:rFonts w:eastAsia="仿宋_GB2312"/>
          <w:bCs/>
          <w:sz w:val="28"/>
          <w:szCs w:val="28"/>
          <w:lang w:val="en-US"/>
        </w:rPr>
        <w:t>leading packaging machine</w:t>
      </w:r>
      <w:r w:rsidR="00D76978">
        <w:rPr>
          <w:rFonts w:eastAsia="仿宋_GB2312"/>
          <w:bCs/>
          <w:sz w:val="28"/>
          <w:szCs w:val="28"/>
          <w:lang w:val="en-US"/>
        </w:rPr>
        <w:t xml:space="preserve">ry manufacturer </w:t>
      </w:r>
      <w:r w:rsidR="006F3F9E">
        <w:rPr>
          <w:rFonts w:eastAsia="仿宋_GB2312"/>
          <w:bCs/>
          <w:sz w:val="28"/>
          <w:szCs w:val="28"/>
          <w:lang w:val="en-US"/>
        </w:rPr>
        <w:t xml:space="preserve">headquartered </w:t>
      </w:r>
      <w:r w:rsidR="00D76978">
        <w:rPr>
          <w:rFonts w:eastAsia="仿宋_GB2312"/>
          <w:bCs/>
          <w:sz w:val="28"/>
          <w:szCs w:val="28"/>
          <w:lang w:val="en-US"/>
        </w:rPr>
        <w:t xml:space="preserve">in </w:t>
      </w:r>
      <w:r w:rsidR="006F3F9E">
        <w:rPr>
          <w:rFonts w:eastAsia="仿宋_GB2312"/>
          <w:bCs/>
          <w:sz w:val="28"/>
          <w:szCs w:val="28"/>
          <w:lang w:val="en-US"/>
        </w:rPr>
        <w:t>Italy</w:t>
      </w:r>
      <w:r w:rsidR="00D76978">
        <w:rPr>
          <w:rFonts w:eastAsia="仿宋_GB2312"/>
          <w:bCs/>
          <w:sz w:val="28"/>
          <w:szCs w:val="28"/>
          <w:lang w:val="en-US"/>
        </w:rPr>
        <w:t xml:space="preserve">. </w:t>
      </w:r>
      <w:r w:rsidR="006F3F9E">
        <w:rPr>
          <w:rFonts w:eastAsia="仿宋_GB2312"/>
          <w:bCs/>
          <w:sz w:val="28"/>
          <w:szCs w:val="28"/>
          <w:lang w:val="en-US"/>
        </w:rPr>
        <w:t>BHR</w:t>
      </w:r>
      <w:r>
        <w:rPr>
          <w:rFonts w:eastAsia="仿宋_GB2312"/>
          <w:bCs/>
          <w:sz w:val="28"/>
          <w:szCs w:val="28"/>
          <w:lang w:val="en-US"/>
        </w:rPr>
        <w:t xml:space="preserve"> and a </w:t>
      </w:r>
      <w:r w:rsidR="006F3F9E">
        <w:rPr>
          <w:rFonts w:eastAsia="仿宋_GB2312"/>
          <w:bCs/>
          <w:sz w:val="28"/>
          <w:szCs w:val="28"/>
          <w:lang w:val="en-US"/>
        </w:rPr>
        <w:t xml:space="preserve">leading </w:t>
      </w:r>
      <w:r>
        <w:rPr>
          <w:rFonts w:eastAsia="仿宋_GB2312"/>
          <w:bCs/>
          <w:sz w:val="28"/>
          <w:szCs w:val="28"/>
          <w:lang w:val="en-US"/>
        </w:rPr>
        <w:t xml:space="preserve">Chinese </w:t>
      </w:r>
      <w:r w:rsidR="006F3F9E" w:rsidRPr="009556E2">
        <w:rPr>
          <w:rFonts w:eastAsia="仿宋_GB2312"/>
          <w:bCs/>
          <w:sz w:val="28"/>
          <w:szCs w:val="28"/>
          <w:lang w:val="en-US"/>
        </w:rPr>
        <w:t>intelligent manufacturing</w:t>
      </w:r>
      <w:r w:rsidR="006F3F9E" w:rsidRPr="009556E2" w:rsidDel="006F3F9E">
        <w:rPr>
          <w:rFonts w:eastAsia="仿宋_GB2312"/>
          <w:bCs/>
          <w:sz w:val="28"/>
          <w:szCs w:val="28"/>
          <w:lang w:val="en-US"/>
        </w:rPr>
        <w:t xml:space="preserve"> </w:t>
      </w:r>
      <w:r w:rsidR="006F3F9E">
        <w:rPr>
          <w:rFonts w:eastAsia="仿宋_GB2312"/>
          <w:bCs/>
          <w:sz w:val="28"/>
          <w:szCs w:val="28"/>
          <w:lang w:val="en-US"/>
        </w:rPr>
        <w:t>company</w:t>
      </w:r>
      <w:r w:rsidR="009556E2" w:rsidRPr="009556E2">
        <w:rPr>
          <w:rFonts w:eastAsia="仿宋_GB2312"/>
          <w:bCs/>
          <w:sz w:val="28"/>
          <w:szCs w:val="28"/>
          <w:lang w:val="en-US"/>
        </w:rPr>
        <w:t xml:space="preserve"> </w:t>
      </w:r>
      <w:r>
        <w:rPr>
          <w:rFonts w:eastAsia="仿宋_GB2312"/>
          <w:bCs/>
          <w:sz w:val="28"/>
          <w:szCs w:val="28"/>
          <w:lang w:val="en-US"/>
        </w:rPr>
        <w:t>jointly initiated the purchase</w:t>
      </w:r>
      <w:r w:rsidR="00044D9B">
        <w:rPr>
          <w:rFonts w:eastAsia="仿宋_GB2312"/>
          <w:bCs/>
          <w:sz w:val="28"/>
          <w:szCs w:val="28"/>
          <w:lang w:val="en-US"/>
        </w:rPr>
        <w:t xml:space="preserve"> with secured funding but the acquisition failed to close given the seller’s high valuation expectations and RMB depreciation which made the valuation even more expensive</w:t>
      </w:r>
      <w:r w:rsidR="009556E2" w:rsidRPr="009556E2">
        <w:rPr>
          <w:rFonts w:eastAsia="仿宋_GB2312"/>
          <w:bCs/>
          <w:sz w:val="28"/>
          <w:szCs w:val="28"/>
          <w:lang w:val="en-US"/>
        </w:rPr>
        <w:t>.</w:t>
      </w:r>
    </w:p>
    <w:p w14:paraId="6EF8CE8C" w14:textId="608F348B" w:rsidR="009556E2" w:rsidRPr="00A6747F" w:rsidRDefault="009556E2" w:rsidP="009556E2">
      <w:pPr>
        <w:tabs>
          <w:tab w:val="left" w:pos="330"/>
        </w:tabs>
        <w:spacing w:before="220" w:after="220" w:line="360" w:lineRule="auto"/>
        <w:jc w:val="both"/>
        <w:rPr>
          <w:rFonts w:eastAsia="仿宋_GB2312"/>
          <w:b/>
          <w:bCs/>
          <w:sz w:val="28"/>
          <w:szCs w:val="28"/>
          <w:lang w:val="en-US"/>
        </w:rPr>
      </w:pPr>
      <w:r w:rsidRPr="00A6747F">
        <w:rPr>
          <w:rFonts w:eastAsia="仿宋_GB2312"/>
          <w:b/>
          <w:bCs/>
          <w:sz w:val="28"/>
          <w:szCs w:val="28"/>
          <w:lang w:val="en-US"/>
        </w:rPr>
        <w:t>II. Domestic Investments</w:t>
      </w:r>
    </w:p>
    <w:p w14:paraId="199858D7" w14:textId="27768A37" w:rsidR="002B7D6C" w:rsidRDefault="002B7D6C" w:rsidP="009A2AEF">
      <w:pPr>
        <w:spacing w:line="360" w:lineRule="auto"/>
        <w:jc w:val="both"/>
        <w:rPr>
          <w:rFonts w:eastAsia="仿宋_GB2312"/>
          <w:bCs/>
          <w:sz w:val="28"/>
          <w:szCs w:val="28"/>
          <w:lang w:val="en-US"/>
        </w:rPr>
      </w:pPr>
      <w:r w:rsidRPr="002B7D6C">
        <w:rPr>
          <w:rFonts w:eastAsia="仿宋_GB2312"/>
          <w:bCs/>
          <w:sz w:val="28"/>
          <w:szCs w:val="28"/>
          <w:lang w:val="en-US"/>
        </w:rPr>
        <w:t>In terms of domestic investment</w:t>
      </w:r>
      <w:r w:rsidR="00DB38A5">
        <w:rPr>
          <w:rFonts w:eastAsia="仿宋_GB2312"/>
          <w:bCs/>
          <w:sz w:val="28"/>
          <w:szCs w:val="28"/>
          <w:lang w:val="en-US"/>
        </w:rPr>
        <w:t>s</w:t>
      </w:r>
      <w:r w:rsidR="00F57D1F">
        <w:rPr>
          <w:rFonts w:eastAsia="仿宋_GB2312"/>
          <w:bCs/>
          <w:sz w:val="28"/>
          <w:szCs w:val="28"/>
          <w:lang w:val="en-US"/>
        </w:rPr>
        <w:t>, i.e., investment opportunities within China</w:t>
      </w:r>
      <w:r w:rsidR="00DB38A5">
        <w:rPr>
          <w:rFonts w:eastAsia="仿宋_GB2312"/>
          <w:bCs/>
          <w:sz w:val="28"/>
          <w:szCs w:val="28"/>
          <w:lang w:val="en-US"/>
        </w:rPr>
        <w:t>, the C</w:t>
      </w:r>
      <w:r w:rsidRPr="002B7D6C">
        <w:rPr>
          <w:rFonts w:eastAsia="仿宋_GB2312"/>
          <w:bCs/>
          <w:sz w:val="28"/>
          <w:szCs w:val="28"/>
          <w:lang w:val="en-US"/>
        </w:rPr>
        <w:t xml:space="preserve">ompany is mainly </w:t>
      </w:r>
      <w:r w:rsidR="00F57D1F">
        <w:rPr>
          <w:rFonts w:eastAsia="仿宋_GB2312"/>
          <w:bCs/>
          <w:sz w:val="28"/>
          <w:szCs w:val="28"/>
          <w:lang w:val="en-US"/>
        </w:rPr>
        <w:t>focused on</w:t>
      </w:r>
      <w:r w:rsidRPr="002B7D6C">
        <w:rPr>
          <w:rFonts w:eastAsia="仿宋_GB2312"/>
          <w:bCs/>
          <w:sz w:val="28"/>
          <w:szCs w:val="28"/>
          <w:lang w:val="en-US"/>
        </w:rPr>
        <w:t xml:space="preserve"> i</w:t>
      </w:r>
      <w:r w:rsidR="00DB38A5">
        <w:rPr>
          <w:rFonts w:eastAsia="仿宋_GB2312"/>
          <w:bCs/>
          <w:sz w:val="28"/>
          <w:szCs w:val="28"/>
          <w:lang w:val="en-US"/>
        </w:rPr>
        <w:t xml:space="preserve">nvestment opportunities in </w:t>
      </w:r>
      <w:r w:rsidR="00F57D1F">
        <w:rPr>
          <w:rFonts w:eastAsia="仿宋_GB2312"/>
          <w:bCs/>
          <w:sz w:val="28"/>
          <w:szCs w:val="28"/>
          <w:lang w:val="en-US"/>
        </w:rPr>
        <w:t>new and emerging technology</w:t>
      </w:r>
      <w:r w:rsidR="00DB38A5">
        <w:rPr>
          <w:rFonts w:eastAsia="仿宋_GB2312"/>
          <w:bCs/>
          <w:sz w:val="28"/>
          <w:szCs w:val="28"/>
          <w:lang w:val="en-US"/>
        </w:rPr>
        <w:t xml:space="preserve">. </w:t>
      </w:r>
      <w:r w:rsidR="00047C5A">
        <w:rPr>
          <w:rFonts w:eastAsia="仿宋_GB2312"/>
          <w:bCs/>
          <w:sz w:val="28"/>
          <w:szCs w:val="28"/>
          <w:lang w:val="en-US"/>
        </w:rPr>
        <w:t xml:space="preserve">In this respect, the </w:t>
      </w:r>
      <w:r w:rsidR="00DB38A5">
        <w:rPr>
          <w:rFonts w:eastAsia="仿宋_GB2312"/>
          <w:bCs/>
          <w:sz w:val="28"/>
          <w:szCs w:val="28"/>
          <w:lang w:val="en-US"/>
        </w:rPr>
        <w:t xml:space="preserve">Company </w:t>
      </w:r>
      <w:r w:rsidRPr="002B7D6C">
        <w:rPr>
          <w:rFonts w:eastAsia="仿宋_GB2312"/>
          <w:bCs/>
          <w:sz w:val="28"/>
          <w:szCs w:val="28"/>
          <w:lang w:val="en-US"/>
        </w:rPr>
        <w:t xml:space="preserve">systematically </w:t>
      </w:r>
      <w:r w:rsidR="00DB38A5">
        <w:rPr>
          <w:rFonts w:eastAsia="仿宋_GB2312"/>
          <w:bCs/>
          <w:sz w:val="28"/>
          <w:szCs w:val="28"/>
          <w:lang w:val="en-US"/>
        </w:rPr>
        <w:t>researched</w:t>
      </w:r>
      <w:r w:rsidRPr="002B7D6C">
        <w:rPr>
          <w:rFonts w:eastAsia="仿宋_GB2312"/>
          <w:bCs/>
          <w:sz w:val="28"/>
          <w:szCs w:val="28"/>
          <w:lang w:val="en-US"/>
        </w:rPr>
        <w:t xml:space="preserve"> </w:t>
      </w:r>
      <w:r w:rsidR="00DB38A5">
        <w:rPr>
          <w:rFonts w:eastAsia="仿宋_GB2312"/>
          <w:bCs/>
          <w:sz w:val="28"/>
          <w:szCs w:val="28"/>
          <w:lang w:val="en-US"/>
        </w:rPr>
        <w:t>the fields of AI vision, AI voicing</w:t>
      </w:r>
      <w:r w:rsidRPr="002B7D6C">
        <w:rPr>
          <w:rFonts w:eastAsia="仿宋_GB2312"/>
          <w:bCs/>
          <w:sz w:val="28"/>
          <w:szCs w:val="28"/>
          <w:lang w:val="en-US"/>
        </w:rPr>
        <w:t xml:space="preserve">, AI chips, memory chips, AI medical, AI education, cognitive AI, autonomous driving, industrial vision, service robots, industrial robots, and emerging technologies in </w:t>
      </w:r>
      <w:r w:rsidR="00047C5A">
        <w:rPr>
          <w:rFonts w:eastAsia="仿宋_GB2312"/>
          <w:bCs/>
          <w:sz w:val="28"/>
          <w:szCs w:val="28"/>
          <w:lang w:val="en-US"/>
        </w:rPr>
        <w:t>the</w:t>
      </w:r>
      <w:r w:rsidR="00047C5A" w:rsidRPr="002B7D6C">
        <w:rPr>
          <w:rFonts w:eastAsia="仿宋_GB2312"/>
          <w:bCs/>
          <w:sz w:val="28"/>
          <w:szCs w:val="28"/>
          <w:lang w:val="en-US"/>
        </w:rPr>
        <w:t xml:space="preserve"> </w:t>
      </w:r>
      <w:r w:rsidRPr="002B7D6C">
        <w:rPr>
          <w:rFonts w:eastAsia="仿宋_GB2312"/>
          <w:bCs/>
          <w:sz w:val="28"/>
          <w:szCs w:val="28"/>
          <w:lang w:val="en-US"/>
        </w:rPr>
        <w:t xml:space="preserve">electronics </w:t>
      </w:r>
      <w:r w:rsidR="00047C5A" w:rsidRPr="002B7D6C">
        <w:rPr>
          <w:rFonts w:eastAsia="仿宋_GB2312"/>
          <w:bCs/>
          <w:sz w:val="28"/>
          <w:szCs w:val="28"/>
          <w:lang w:val="en-US"/>
        </w:rPr>
        <w:t>industr</w:t>
      </w:r>
      <w:r w:rsidR="00047C5A">
        <w:rPr>
          <w:rFonts w:eastAsia="仿宋_GB2312"/>
          <w:bCs/>
          <w:sz w:val="28"/>
          <w:szCs w:val="28"/>
          <w:lang w:val="en-US"/>
        </w:rPr>
        <w:t>y</w:t>
      </w:r>
      <w:r w:rsidRPr="002B7D6C">
        <w:rPr>
          <w:rFonts w:eastAsia="仿宋_GB2312"/>
          <w:bCs/>
          <w:sz w:val="28"/>
          <w:szCs w:val="28"/>
          <w:lang w:val="en-US"/>
        </w:rPr>
        <w:t xml:space="preserve">. </w:t>
      </w:r>
      <w:r w:rsidR="00DB38A5">
        <w:rPr>
          <w:rFonts w:eastAsia="仿宋_GB2312"/>
          <w:bCs/>
          <w:sz w:val="28"/>
          <w:szCs w:val="28"/>
          <w:lang w:val="en-US"/>
        </w:rPr>
        <w:t xml:space="preserve">The Company visited </w:t>
      </w:r>
      <w:r w:rsidRPr="002B7D6C">
        <w:rPr>
          <w:rFonts w:eastAsia="仿宋_GB2312"/>
          <w:bCs/>
          <w:sz w:val="28"/>
          <w:szCs w:val="28"/>
          <w:lang w:val="en-US"/>
        </w:rPr>
        <w:t xml:space="preserve">nearly 100 </w:t>
      </w:r>
      <w:r w:rsidR="00DB38A5">
        <w:rPr>
          <w:rFonts w:eastAsia="仿宋_GB2312"/>
          <w:bCs/>
          <w:sz w:val="28"/>
          <w:szCs w:val="28"/>
          <w:lang w:val="en-US"/>
        </w:rPr>
        <w:t xml:space="preserve">target companies in </w:t>
      </w:r>
      <w:r w:rsidR="00DB38A5">
        <w:rPr>
          <w:rFonts w:eastAsia="仿宋_GB2312"/>
          <w:bCs/>
          <w:sz w:val="28"/>
          <w:szCs w:val="28"/>
          <w:lang w:val="en-US"/>
        </w:rPr>
        <w:lastRenderedPageBreak/>
        <w:t>th</w:t>
      </w:r>
      <w:r w:rsidR="00047C5A">
        <w:rPr>
          <w:rFonts w:eastAsia="仿宋_GB2312"/>
          <w:bCs/>
          <w:sz w:val="28"/>
          <w:szCs w:val="28"/>
          <w:lang w:val="en-US"/>
        </w:rPr>
        <w:t>is</w:t>
      </w:r>
      <w:r w:rsidR="00DB38A5">
        <w:rPr>
          <w:rFonts w:eastAsia="仿宋_GB2312"/>
          <w:bCs/>
          <w:sz w:val="28"/>
          <w:szCs w:val="28"/>
          <w:lang w:val="en-US"/>
        </w:rPr>
        <w:t xml:space="preserve"> field and has gained a deeper understanding of </w:t>
      </w:r>
      <w:r w:rsidR="00047C5A">
        <w:rPr>
          <w:rFonts w:eastAsia="仿宋_GB2312"/>
          <w:bCs/>
          <w:sz w:val="28"/>
          <w:szCs w:val="28"/>
          <w:lang w:val="en-US"/>
        </w:rPr>
        <w:t xml:space="preserve">the </w:t>
      </w:r>
      <w:r w:rsidR="00BE4D6B">
        <w:rPr>
          <w:rFonts w:eastAsia="仿宋_GB2312"/>
          <w:bCs/>
          <w:sz w:val="28"/>
          <w:szCs w:val="28"/>
          <w:lang w:val="en-US"/>
        </w:rPr>
        <w:t xml:space="preserve">relevant </w:t>
      </w:r>
      <w:r w:rsidR="00047C5A">
        <w:rPr>
          <w:rFonts w:eastAsia="仿宋_GB2312"/>
          <w:bCs/>
          <w:sz w:val="28"/>
          <w:szCs w:val="28"/>
          <w:lang w:val="en-US"/>
        </w:rPr>
        <w:t xml:space="preserve">sub-sectors through direct interactions with experts and </w:t>
      </w:r>
      <w:r w:rsidR="00FB5748">
        <w:rPr>
          <w:rFonts w:eastAsia="仿宋_GB2312"/>
          <w:bCs/>
          <w:sz w:val="28"/>
          <w:szCs w:val="28"/>
          <w:lang w:val="en-US"/>
        </w:rPr>
        <w:t>industry leaders</w:t>
      </w:r>
      <w:r w:rsidR="00BE4D6B">
        <w:rPr>
          <w:rFonts w:eastAsia="仿宋_GB2312"/>
          <w:bCs/>
          <w:sz w:val="28"/>
          <w:szCs w:val="28"/>
          <w:lang w:val="en-US"/>
        </w:rPr>
        <w:t>.</w:t>
      </w:r>
      <w:r w:rsidR="00034F0F" w:rsidRPr="009A2AEF">
        <w:rPr>
          <w:rFonts w:eastAsia="仿宋_GB2312" w:hint="eastAsia"/>
          <w:bCs/>
          <w:sz w:val="28"/>
          <w:szCs w:val="28"/>
          <w:lang w:val="en-US"/>
        </w:rPr>
        <w:t xml:space="preserve"> </w:t>
      </w:r>
    </w:p>
    <w:p w14:paraId="2DC4D6C9" w14:textId="77777777" w:rsidR="009556E2" w:rsidRPr="00657B22" w:rsidRDefault="009556E2" w:rsidP="009556E2">
      <w:pPr>
        <w:spacing w:line="360" w:lineRule="auto"/>
        <w:jc w:val="both"/>
        <w:rPr>
          <w:b/>
          <w:bCs/>
          <w:sz w:val="28"/>
          <w:szCs w:val="28"/>
          <w:lang w:val="en-US"/>
        </w:rPr>
      </w:pPr>
      <w:r w:rsidRPr="006A0CF9">
        <w:rPr>
          <w:b/>
          <w:bCs/>
          <w:sz w:val="28"/>
          <w:szCs w:val="28"/>
          <w:lang w:val="en-US"/>
        </w:rPr>
        <w:t>XAIRCRAFT</w:t>
      </w:r>
    </w:p>
    <w:p w14:paraId="1AB1F93E" w14:textId="53E937F5" w:rsidR="00F66302" w:rsidRDefault="006F74A2" w:rsidP="009A2AEF">
      <w:pPr>
        <w:spacing w:line="360" w:lineRule="auto"/>
        <w:jc w:val="both"/>
        <w:rPr>
          <w:rFonts w:eastAsia="仿宋_GB2312"/>
          <w:bCs/>
          <w:sz w:val="28"/>
          <w:szCs w:val="28"/>
          <w:lang w:val="en-US"/>
        </w:rPr>
      </w:pPr>
      <w:proofErr w:type="spellStart"/>
      <w:r>
        <w:rPr>
          <w:rFonts w:eastAsia="仿宋_GB2312"/>
          <w:bCs/>
          <w:sz w:val="28"/>
          <w:szCs w:val="28"/>
          <w:lang w:val="en-US"/>
        </w:rPr>
        <w:t>Xaircraft</w:t>
      </w:r>
      <w:proofErr w:type="spellEnd"/>
      <w:r>
        <w:rPr>
          <w:rFonts w:eastAsia="仿宋_GB2312"/>
          <w:bCs/>
          <w:sz w:val="28"/>
          <w:szCs w:val="28"/>
          <w:lang w:val="en-US"/>
        </w:rPr>
        <w:t xml:space="preserve"> is China's </w:t>
      </w:r>
      <w:r w:rsidR="00DD1D71" w:rsidRPr="00DD1D71">
        <w:rPr>
          <w:rFonts w:eastAsia="仿宋_GB2312"/>
          <w:bCs/>
          <w:sz w:val="28"/>
          <w:szCs w:val="28"/>
          <w:lang w:val="en-US"/>
        </w:rPr>
        <w:t>leading a</w:t>
      </w:r>
      <w:r w:rsidR="007722D7">
        <w:rPr>
          <w:rFonts w:eastAsia="仿宋_GB2312"/>
          <w:bCs/>
          <w:sz w:val="28"/>
          <w:szCs w:val="28"/>
          <w:lang w:val="en-US"/>
        </w:rPr>
        <w:t xml:space="preserve">gricultural </w:t>
      </w:r>
      <w:r w:rsidR="00034F0F">
        <w:rPr>
          <w:rFonts w:eastAsia="仿宋_GB2312"/>
          <w:bCs/>
          <w:sz w:val="28"/>
          <w:szCs w:val="28"/>
          <w:lang w:val="en-US"/>
        </w:rPr>
        <w:t xml:space="preserve">UAV </w:t>
      </w:r>
      <w:r w:rsidR="00CF33C9">
        <w:rPr>
          <w:rFonts w:eastAsia="仿宋_GB2312"/>
          <w:bCs/>
          <w:sz w:val="28"/>
          <w:szCs w:val="28"/>
          <w:lang w:val="en-US"/>
        </w:rPr>
        <w:t>maker</w:t>
      </w:r>
      <w:r w:rsidR="007722D7">
        <w:rPr>
          <w:rFonts w:eastAsia="仿宋_GB2312"/>
          <w:bCs/>
          <w:sz w:val="28"/>
          <w:szCs w:val="28"/>
          <w:lang w:val="en-US"/>
        </w:rPr>
        <w:t xml:space="preserve">. </w:t>
      </w:r>
      <w:r w:rsidR="00FB5748">
        <w:rPr>
          <w:rFonts w:eastAsia="仿宋_GB2312"/>
          <w:bCs/>
          <w:sz w:val="28"/>
          <w:szCs w:val="28"/>
          <w:lang w:val="en-US"/>
        </w:rPr>
        <w:t xml:space="preserve">BHR </w:t>
      </w:r>
      <w:r w:rsidR="00DD1D71" w:rsidRPr="00DD1D71">
        <w:rPr>
          <w:rFonts w:eastAsia="仿宋_GB2312"/>
          <w:bCs/>
          <w:sz w:val="28"/>
          <w:szCs w:val="28"/>
          <w:lang w:val="en-US"/>
        </w:rPr>
        <w:t xml:space="preserve">completed </w:t>
      </w:r>
      <w:r w:rsidR="00F714AB">
        <w:rPr>
          <w:rFonts w:eastAsia="仿宋_GB2312"/>
          <w:bCs/>
          <w:sz w:val="28"/>
          <w:szCs w:val="28"/>
          <w:lang w:val="en-US"/>
        </w:rPr>
        <w:t>t</w:t>
      </w:r>
      <w:r w:rsidR="00DD1D71" w:rsidRPr="00DD1D71">
        <w:rPr>
          <w:rFonts w:eastAsia="仿宋_GB2312"/>
          <w:bCs/>
          <w:sz w:val="28"/>
          <w:szCs w:val="28"/>
          <w:lang w:val="en-US"/>
        </w:rPr>
        <w:t>he</w:t>
      </w:r>
      <w:r w:rsidR="00FB5748">
        <w:rPr>
          <w:rFonts w:eastAsia="仿宋_GB2312"/>
          <w:bCs/>
          <w:sz w:val="28"/>
          <w:szCs w:val="28"/>
          <w:lang w:val="en-US"/>
        </w:rPr>
        <w:t xml:space="preserve"> necessary</w:t>
      </w:r>
      <w:r w:rsidR="00DD1D71" w:rsidRPr="00DD1D71">
        <w:rPr>
          <w:rFonts w:eastAsia="仿宋_GB2312"/>
          <w:bCs/>
          <w:sz w:val="28"/>
          <w:szCs w:val="28"/>
          <w:lang w:val="en-US"/>
        </w:rPr>
        <w:t xml:space="preserve"> </w:t>
      </w:r>
      <w:r w:rsidR="00F714AB">
        <w:rPr>
          <w:rFonts w:eastAsia="仿宋_GB2312"/>
          <w:bCs/>
          <w:sz w:val="28"/>
          <w:szCs w:val="28"/>
          <w:lang w:val="en-US"/>
        </w:rPr>
        <w:t xml:space="preserve">due diligence and </w:t>
      </w:r>
      <w:r w:rsidR="00FB5748">
        <w:rPr>
          <w:rFonts w:eastAsia="仿宋_GB2312"/>
          <w:bCs/>
          <w:sz w:val="28"/>
          <w:szCs w:val="28"/>
          <w:lang w:val="en-US"/>
        </w:rPr>
        <w:t xml:space="preserve">entered into relevant </w:t>
      </w:r>
      <w:r w:rsidR="00DD1D71" w:rsidRPr="00DD1D71">
        <w:rPr>
          <w:rFonts w:eastAsia="仿宋_GB2312"/>
          <w:bCs/>
          <w:sz w:val="28"/>
          <w:szCs w:val="28"/>
          <w:lang w:val="en-US"/>
        </w:rPr>
        <w:t xml:space="preserve">investment framework </w:t>
      </w:r>
      <w:r w:rsidR="00F714AB">
        <w:rPr>
          <w:rFonts w:eastAsia="仿宋_GB2312"/>
          <w:bCs/>
          <w:sz w:val="28"/>
          <w:szCs w:val="28"/>
          <w:lang w:val="en-US"/>
        </w:rPr>
        <w:t xml:space="preserve">agreement for participating in the </w:t>
      </w:r>
      <w:r w:rsidR="00FB5748">
        <w:rPr>
          <w:rFonts w:eastAsia="仿宋_GB2312"/>
          <w:bCs/>
          <w:sz w:val="28"/>
          <w:szCs w:val="28"/>
          <w:lang w:val="en-US"/>
        </w:rPr>
        <w:t xml:space="preserve">Series C </w:t>
      </w:r>
      <w:r w:rsidR="00F714AB">
        <w:rPr>
          <w:rFonts w:eastAsia="仿宋_GB2312"/>
          <w:bCs/>
          <w:sz w:val="28"/>
          <w:szCs w:val="28"/>
          <w:lang w:val="en-US"/>
        </w:rPr>
        <w:t xml:space="preserve">financing of RMB </w:t>
      </w:r>
      <w:r w:rsidR="006F435A">
        <w:rPr>
          <w:rFonts w:eastAsia="仿宋_GB2312"/>
          <w:bCs/>
          <w:sz w:val="28"/>
          <w:szCs w:val="28"/>
          <w:lang w:val="en-US"/>
        </w:rPr>
        <w:t>200 million</w:t>
      </w:r>
      <w:r w:rsidR="00DD1D71" w:rsidRPr="00DD1D71">
        <w:rPr>
          <w:rFonts w:eastAsia="仿宋_GB2312"/>
          <w:bCs/>
          <w:sz w:val="28"/>
          <w:szCs w:val="28"/>
          <w:lang w:val="en-US"/>
        </w:rPr>
        <w:t xml:space="preserve">. In April 2018, </w:t>
      </w:r>
      <w:proofErr w:type="spellStart"/>
      <w:r w:rsidR="00DD1D71" w:rsidRPr="00DD1D71">
        <w:rPr>
          <w:rFonts w:eastAsia="仿宋_GB2312"/>
          <w:bCs/>
          <w:sz w:val="28"/>
          <w:szCs w:val="28"/>
          <w:lang w:val="en-US"/>
        </w:rPr>
        <w:t>Minsheng</w:t>
      </w:r>
      <w:proofErr w:type="spellEnd"/>
      <w:r w:rsidR="00DD1D71" w:rsidRPr="00DD1D71">
        <w:rPr>
          <w:rFonts w:eastAsia="仿宋_GB2312"/>
          <w:bCs/>
          <w:sz w:val="28"/>
          <w:szCs w:val="28"/>
          <w:lang w:val="en-US"/>
        </w:rPr>
        <w:t xml:space="preserve"> Trust</w:t>
      </w:r>
      <w:r w:rsidR="00FB5748">
        <w:rPr>
          <w:rFonts w:eastAsia="仿宋_GB2312"/>
          <w:bCs/>
          <w:sz w:val="28"/>
          <w:szCs w:val="28"/>
          <w:lang w:val="en-US"/>
        </w:rPr>
        <w:t>, our prospective LP for this project,</w:t>
      </w:r>
      <w:r w:rsidR="00DD1D71" w:rsidRPr="00DD1D71">
        <w:rPr>
          <w:rFonts w:eastAsia="仿宋_GB2312"/>
          <w:bCs/>
          <w:sz w:val="28"/>
          <w:szCs w:val="28"/>
          <w:lang w:val="en-US"/>
        </w:rPr>
        <w:t xml:space="preserve"> passed its internal approval and agreed to </w:t>
      </w:r>
      <w:proofErr w:type="spellStart"/>
      <w:r w:rsidR="00DD1D71" w:rsidRPr="00DD1D71">
        <w:rPr>
          <w:rFonts w:eastAsia="仿宋_GB2312"/>
          <w:bCs/>
          <w:sz w:val="28"/>
          <w:szCs w:val="28"/>
          <w:lang w:val="en-US"/>
        </w:rPr>
        <w:t>to</w:t>
      </w:r>
      <w:proofErr w:type="spellEnd"/>
      <w:r w:rsidR="00DD1D71" w:rsidRPr="00DD1D71">
        <w:rPr>
          <w:rFonts w:eastAsia="仿宋_GB2312"/>
          <w:bCs/>
          <w:sz w:val="28"/>
          <w:szCs w:val="28"/>
          <w:lang w:val="en-US"/>
        </w:rPr>
        <w:t xml:space="preserve"> </w:t>
      </w:r>
      <w:r w:rsidR="002C5260">
        <w:rPr>
          <w:rFonts w:eastAsia="仿宋_GB2312"/>
          <w:bCs/>
          <w:sz w:val="28"/>
          <w:szCs w:val="28"/>
          <w:lang w:val="en-US"/>
        </w:rPr>
        <w:t>invest</w:t>
      </w:r>
      <w:r w:rsidR="00AB4153">
        <w:rPr>
          <w:rFonts w:eastAsia="仿宋_GB2312"/>
          <w:bCs/>
          <w:sz w:val="28"/>
          <w:szCs w:val="28"/>
          <w:lang w:val="en-US"/>
        </w:rPr>
        <w:t xml:space="preserve"> in BHR’s deal fund and to </w:t>
      </w:r>
      <w:r w:rsidR="00DD1D71" w:rsidRPr="00DD1D71">
        <w:rPr>
          <w:rFonts w:eastAsia="仿宋_GB2312"/>
          <w:bCs/>
          <w:sz w:val="28"/>
          <w:szCs w:val="28"/>
          <w:lang w:val="en-US"/>
        </w:rPr>
        <w:t xml:space="preserve">participate in the project. However, after the introduction of the </w:t>
      </w:r>
      <w:r w:rsidR="00E84D74">
        <w:rPr>
          <w:rFonts w:eastAsia="仿宋_GB2312"/>
          <w:bCs/>
          <w:sz w:val="28"/>
          <w:szCs w:val="28"/>
          <w:lang w:val="en-US"/>
        </w:rPr>
        <w:t xml:space="preserve">2018 </w:t>
      </w:r>
      <w:r w:rsidR="00DD1D71" w:rsidRPr="00DD1D71">
        <w:rPr>
          <w:rFonts w:eastAsia="仿宋_GB2312"/>
          <w:bCs/>
          <w:sz w:val="28"/>
          <w:szCs w:val="28"/>
          <w:lang w:val="en-US"/>
        </w:rPr>
        <w:t xml:space="preserve">Asset Management Regulations, </w:t>
      </w:r>
      <w:proofErr w:type="spellStart"/>
      <w:r w:rsidR="00DD1D71" w:rsidRPr="00DD1D71">
        <w:rPr>
          <w:rFonts w:eastAsia="仿宋_GB2312"/>
          <w:bCs/>
          <w:sz w:val="28"/>
          <w:szCs w:val="28"/>
          <w:lang w:val="en-US"/>
        </w:rPr>
        <w:t>Minsheng</w:t>
      </w:r>
      <w:proofErr w:type="spellEnd"/>
      <w:r w:rsidR="00DD1D71" w:rsidRPr="00DD1D71">
        <w:rPr>
          <w:rFonts w:eastAsia="仿宋_GB2312"/>
          <w:bCs/>
          <w:sz w:val="28"/>
          <w:szCs w:val="28"/>
          <w:lang w:val="en-US"/>
        </w:rPr>
        <w:t xml:space="preserve"> Trust </w:t>
      </w:r>
      <w:r w:rsidR="002C5260">
        <w:rPr>
          <w:rFonts w:eastAsia="仿宋_GB2312"/>
          <w:bCs/>
          <w:sz w:val="28"/>
          <w:szCs w:val="28"/>
          <w:lang w:val="en-US"/>
        </w:rPr>
        <w:t xml:space="preserve">could not provide funding certainty as it would have had to issue a trust product and raise money for subscription into the BHR deal fund, such uncertainties </w:t>
      </w:r>
      <w:r w:rsidR="00353BA6">
        <w:rPr>
          <w:rFonts w:eastAsia="仿宋_GB2312"/>
          <w:bCs/>
          <w:sz w:val="28"/>
          <w:szCs w:val="28"/>
          <w:lang w:val="en-US"/>
        </w:rPr>
        <w:t xml:space="preserve">ultimately </w:t>
      </w:r>
      <w:r w:rsidR="00AB4153">
        <w:rPr>
          <w:rFonts w:eastAsia="仿宋_GB2312"/>
          <w:bCs/>
          <w:sz w:val="28"/>
          <w:szCs w:val="28"/>
          <w:lang w:val="en-US"/>
        </w:rPr>
        <w:t xml:space="preserve">delayed </w:t>
      </w:r>
      <w:r w:rsidR="00353BA6">
        <w:rPr>
          <w:rFonts w:eastAsia="仿宋_GB2312"/>
          <w:bCs/>
          <w:sz w:val="28"/>
          <w:szCs w:val="28"/>
          <w:lang w:val="en-US"/>
        </w:rPr>
        <w:t xml:space="preserve">the Company’s </w:t>
      </w:r>
      <w:r w:rsidR="00AB4153">
        <w:rPr>
          <w:rFonts w:eastAsia="仿宋_GB2312"/>
          <w:bCs/>
          <w:sz w:val="28"/>
          <w:szCs w:val="28"/>
          <w:lang w:val="en-US"/>
        </w:rPr>
        <w:t>entering into of final investment agreements</w:t>
      </w:r>
      <w:r w:rsidR="00353BA6">
        <w:rPr>
          <w:rFonts w:eastAsia="仿宋_GB2312"/>
          <w:bCs/>
          <w:sz w:val="28"/>
          <w:szCs w:val="28"/>
          <w:lang w:val="en-US"/>
        </w:rPr>
        <w:t xml:space="preserve"> with the target company</w:t>
      </w:r>
      <w:r w:rsidR="00DD1D71" w:rsidRPr="00DD1D71">
        <w:rPr>
          <w:rFonts w:eastAsia="仿宋_GB2312"/>
          <w:bCs/>
          <w:sz w:val="28"/>
          <w:szCs w:val="28"/>
          <w:lang w:val="en-US"/>
        </w:rPr>
        <w:t xml:space="preserve">. </w:t>
      </w:r>
      <w:r w:rsidR="00AB4153">
        <w:rPr>
          <w:rFonts w:eastAsia="仿宋_GB2312"/>
          <w:bCs/>
          <w:sz w:val="28"/>
          <w:szCs w:val="28"/>
          <w:lang w:val="en-US"/>
        </w:rPr>
        <w:t xml:space="preserve"> </w:t>
      </w:r>
      <w:r w:rsidR="00394959">
        <w:rPr>
          <w:rFonts w:eastAsia="仿宋_GB2312"/>
          <w:bCs/>
          <w:sz w:val="28"/>
          <w:szCs w:val="28"/>
          <w:lang w:val="en-US"/>
        </w:rPr>
        <w:t xml:space="preserve">Faced with the restrictions of the </w:t>
      </w:r>
      <w:r w:rsidR="00E84D74">
        <w:rPr>
          <w:rFonts w:eastAsia="仿宋_GB2312"/>
          <w:bCs/>
          <w:sz w:val="28"/>
          <w:szCs w:val="28"/>
          <w:lang w:val="en-US"/>
        </w:rPr>
        <w:t xml:space="preserve">2018 </w:t>
      </w:r>
      <w:r w:rsidR="00394959">
        <w:rPr>
          <w:rFonts w:eastAsia="仿宋_GB2312"/>
          <w:bCs/>
          <w:sz w:val="28"/>
          <w:szCs w:val="28"/>
          <w:lang w:val="en-US"/>
        </w:rPr>
        <w:t>Asset Management Regulations, t</w:t>
      </w:r>
      <w:r w:rsidR="00771A23">
        <w:rPr>
          <w:rFonts w:eastAsia="仿宋_GB2312"/>
          <w:bCs/>
          <w:sz w:val="28"/>
          <w:szCs w:val="28"/>
          <w:lang w:val="en-US"/>
        </w:rPr>
        <w:t>he C</w:t>
      </w:r>
      <w:r w:rsidR="00DD1D71" w:rsidRPr="00DD1D71">
        <w:rPr>
          <w:rFonts w:eastAsia="仿宋_GB2312"/>
          <w:bCs/>
          <w:sz w:val="28"/>
          <w:szCs w:val="28"/>
          <w:lang w:val="en-US"/>
        </w:rPr>
        <w:t xml:space="preserve">ompany </w:t>
      </w:r>
      <w:r w:rsidR="00394959">
        <w:rPr>
          <w:rFonts w:eastAsia="仿宋_GB2312"/>
          <w:bCs/>
          <w:sz w:val="28"/>
          <w:szCs w:val="28"/>
          <w:lang w:val="en-US"/>
        </w:rPr>
        <w:t xml:space="preserve">was unsuccessful in its attempt </w:t>
      </w:r>
      <w:r w:rsidR="00C93AC8">
        <w:rPr>
          <w:rFonts w:eastAsia="仿宋_GB2312"/>
          <w:bCs/>
          <w:sz w:val="28"/>
          <w:szCs w:val="28"/>
          <w:lang w:val="en-US"/>
        </w:rPr>
        <w:t>to find replacement LPs</w:t>
      </w:r>
      <w:r w:rsidR="00771A23">
        <w:rPr>
          <w:rFonts w:eastAsia="仿宋_GB2312"/>
          <w:bCs/>
          <w:sz w:val="28"/>
          <w:szCs w:val="28"/>
          <w:lang w:val="en-US"/>
        </w:rPr>
        <w:t>.</w:t>
      </w:r>
    </w:p>
    <w:p w14:paraId="6692AEE8" w14:textId="77777777" w:rsidR="00F66302" w:rsidRPr="006C5163" w:rsidRDefault="00F66302" w:rsidP="00F66302">
      <w:pPr>
        <w:tabs>
          <w:tab w:val="left" w:pos="330"/>
        </w:tabs>
        <w:spacing w:before="220" w:after="220" w:line="360" w:lineRule="auto"/>
        <w:jc w:val="both"/>
        <w:rPr>
          <w:rFonts w:eastAsia="仿宋_GB2312"/>
          <w:b/>
          <w:bCs/>
          <w:sz w:val="28"/>
          <w:szCs w:val="28"/>
          <w:lang w:val="en-US"/>
        </w:rPr>
      </w:pPr>
      <w:r w:rsidRPr="00C443ED">
        <w:rPr>
          <w:rFonts w:eastAsia="仿宋_GB2312" w:hint="eastAsia"/>
          <w:b/>
          <w:bCs/>
          <w:sz w:val="28"/>
          <w:szCs w:val="28"/>
          <w:lang w:val="en-US"/>
        </w:rPr>
        <w:t>Chang Yuan</w:t>
      </w:r>
      <w:r w:rsidRPr="00C443ED">
        <w:rPr>
          <w:rFonts w:eastAsia="仿宋_GB2312"/>
          <w:b/>
          <w:bCs/>
          <w:sz w:val="28"/>
          <w:szCs w:val="28"/>
          <w:lang w:val="en-US"/>
        </w:rPr>
        <w:t xml:space="preserve"> </w:t>
      </w:r>
      <w:r>
        <w:rPr>
          <w:rFonts w:eastAsia="仿宋_GB2312"/>
          <w:b/>
          <w:bCs/>
          <w:sz w:val="28"/>
          <w:szCs w:val="28"/>
          <w:lang w:val="en-US"/>
        </w:rPr>
        <w:t>Lithium</w:t>
      </w:r>
    </w:p>
    <w:p w14:paraId="32DFB605" w14:textId="6CB87117" w:rsidR="00F66302" w:rsidRDefault="00F66302" w:rsidP="009A2AEF">
      <w:pPr>
        <w:spacing w:line="360" w:lineRule="auto"/>
        <w:jc w:val="both"/>
        <w:rPr>
          <w:rFonts w:eastAsia="仿宋_GB2312"/>
          <w:bCs/>
          <w:sz w:val="28"/>
          <w:szCs w:val="28"/>
          <w:lang w:val="en-US"/>
        </w:rPr>
      </w:pPr>
      <w:r>
        <w:rPr>
          <w:rFonts w:eastAsia="仿宋_GB2312"/>
          <w:bCs/>
          <w:sz w:val="28"/>
          <w:szCs w:val="28"/>
          <w:lang w:val="en-US"/>
        </w:rPr>
        <w:t>Chang Yuan Lithium</w:t>
      </w:r>
      <w:r w:rsidR="00DD1D71">
        <w:rPr>
          <w:rFonts w:eastAsia="仿宋_GB2312"/>
          <w:bCs/>
          <w:sz w:val="28"/>
          <w:szCs w:val="28"/>
          <w:lang w:val="en-US"/>
        </w:rPr>
        <w:t xml:space="preserve"> </w:t>
      </w:r>
      <w:r w:rsidR="00DD1D71" w:rsidRPr="00DD1D71">
        <w:rPr>
          <w:rFonts w:eastAsia="仿宋_GB2312"/>
          <w:bCs/>
          <w:sz w:val="28"/>
          <w:szCs w:val="28"/>
          <w:lang w:val="en-US"/>
        </w:rPr>
        <w:t xml:space="preserve">is a subsidiary of </w:t>
      </w:r>
      <w:proofErr w:type="spellStart"/>
      <w:r w:rsidR="00DD1D71" w:rsidRPr="00DD1D71">
        <w:rPr>
          <w:rFonts w:eastAsia="仿宋_GB2312"/>
          <w:bCs/>
          <w:sz w:val="28"/>
          <w:szCs w:val="28"/>
          <w:lang w:val="en-US"/>
        </w:rPr>
        <w:t>Minmetals</w:t>
      </w:r>
      <w:proofErr w:type="spellEnd"/>
      <w:r w:rsidR="00DD1D71" w:rsidRPr="00DD1D71">
        <w:rPr>
          <w:rFonts w:eastAsia="仿宋_GB2312"/>
          <w:bCs/>
          <w:sz w:val="28"/>
          <w:szCs w:val="28"/>
          <w:lang w:val="en-US"/>
        </w:rPr>
        <w:t xml:space="preserve"> Group and </w:t>
      </w:r>
      <w:r w:rsidR="00CE0CF2">
        <w:rPr>
          <w:rFonts w:eastAsia="仿宋_GB2312"/>
          <w:bCs/>
          <w:sz w:val="28"/>
          <w:szCs w:val="28"/>
          <w:lang w:val="en-US"/>
        </w:rPr>
        <w:t>is the second largest</w:t>
      </w:r>
      <w:r w:rsidR="00DD1D71" w:rsidRPr="00DD1D71">
        <w:rPr>
          <w:rFonts w:eastAsia="仿宋_GB2312"/>
          <w:bCs/>
          <w:sz w:val="28"/>
          <w:szCs w:val="28"/>
          <w:lang w:val="en-US"/>
        </w:rPr>
        <w:t xml:space="preserve"> market </w:t>
      </w:r>
      <w:r w:rsidR="00CE0CF2">
        <w:rPr>
          <w:rFonts w:eastAsia="仿宋_GB2312"/>
          <w:bCs/>
          <w:sz w:val="28"/>
          <w:szCs w:val="28"/>
          <w:lang w:val="en-US"/>
        </w:rPr>
        <w:t>player in China</w:t>
      </w:r>
      <w:r w:rsidR="00CE0CF2" w:rsidRPr="00DD1D71">
        <w:rPr>
          <w:rFonts w:eastAsia="仿宋_GB2312"/>
          <w:bCs/>
          <w:sz w:val="28"/>
          <w:szCs w:val="28"/>
          <w:lang w:val="en-US"/>
        </w:rPr>
        <w:t xml:space="preserve"> </w:t>
      </w:r>
      <w:r w:rsidR="00DD1D71" w:rsidRPr="00DD1D71">
        <w:rPr>
          <w:rFonts w:eastAsia="仿宋_GB2312"/>
          <w:bCs/>
          <w:sz w:val="28"/>
          <w:szCs w:val="28"/>
          <w:lang w:val="en-US"/>
        </w:rPr>
        <w:t>of ternary material precurso</w:t>
      </w:r>
      <w:r w:rsidR="009A73AE">
        <w:rPr>
          <w:rFonts w:eastAsia="仿宋_GB2312"/>
          <w:bCs/>
          <w:sz w:val="28"/>
          <w:szCs w:val="28"/>
          <w:lang w:val="en-US"/>
        </w:rPr>
        <w:t>rs. Its customers include CATL</w:t>
      </w:r>
      <w:r w:rsidR="00DD1D71" w:rsidRPr="00DD1D71">
        <w:rPr>
          <w:rFonts w:eastAsia="仿宋_GB2312"/>
          <w:bCs/>
          <w:sz w:val="28"/>
          <w:szCs w:val="28"/>
          <w:lang w:val="en-US"/>
        </w:rPr>
        <w:t xml:space="preserve">, BYD and </w:t>
      </w:r>
      <w:proofErr w:type="spellStart"/>
      <w:r w:rsidR="00DD1D71" w:rsidRPr="00DD1D71">
        <w:rPr>
          <w:rFonts w:eastAsia="仿宋_GB2312"/>
          <w:bCs/>
          <w:sz w:val="28"/>
          <w:szCs w:val="28"/>
          <w:lang w:val="en-US"/>
        </w:rPr>
        <w:t>Lishen</w:t>
      </w:r>
      <w:proofErr w:type="spellEnd"/>
      <w:r w:rsidR="00DD1D71" w:rsidRPr="00DD1D71">
        <w:rPr>
          <w:rFonts w:eastAsia="仿宋_GB2312"/>
          <w:bCs/>
          <w:sz w:val="28"/>
          <w:szCs w:val="28"/>
          <w:lang w:val="en-US"/>
        </w:rPr>
        <w:t xml:space="preserve">. </w:t>
      </w:r>
      <w:r w:rsidR="00311EFF" w:rsidRPr="00DD1D71">
        <w:rPr>
          <w:rFonts w:eastAsia="仿宋_GB2312"/>
          <w:bCs/>
          <w:sz w:val="28"/>
          <w:szCs w:val="28"/>
          <w:lang w:val="en-US"/>
        </w:rPr>
        <w:t>Th</w:t>
      </w:r>
      <w:r w:rsidR="00311EFF">
        <w:rPr>
          <w:rFonts w:eastAsia="仿宋_GB2312"/>
          <w:bCs/>
          <w:sz w:val="28"/>
          <w:szCs w:val="28"/>
          <w:lang w:val="en-US"/>
        </w:rPr>
        <w:t>is</w:t>
      </w:r>
      <w:r w:rsidR="00311EFF" w:rsidRPr="00DD1D71">
        <w:rPr>
          <w:rFonts w:eastAsia="仿宋_GB2312"/>
          <w:bCs/>
          <w:sz w:val="28"/>
          <w:szCs w:val="28"/>
          <w:lang w:val="en-US"/>
        </w:rPr>
        <w:t xml:space="preserve"> </w:t>
      </w:r>
      <w:r w:rsidR="00DD1D71" w:rsidRPr="00DD1D71">
        <w:rPr>
          <w:rFonts w:eastAsia="仿宋_GB2312"/>
          <w:bCs/>
          <w:sz w:val="28"/>
          <w:szCs w:val="28"/>
          <w:lang w:val="en-US"/>
        </w:rPr>
        <w:t xml:space="preserve">project </w:t>
      </w:r>
      <w:r w:rsidR="00311EFF" w:rsidRPr="00DD1D71">
        <w:rPr>
          <w:rFonts w:eastAsia="仿宋_GB2312"/>
          <w:bCs/>
          <w:sz w:val="28"/>
          <w:szCs w:val="28"/>
          <w:lang w:val="en-US"/>
        </w:rPr>
        <w:t>ha</w:t>
      </w:r>
      <w:r w:rsidR="00311EFF">
        <w:rPr>
          <w:rFonts w:eastAsia="仿宋_GB2312"/>
          <w:bCs/>
          <w:sz w:val="28"/>
          <w:szCs w:val="28"/>
          <w:lang w:val="en-US"/>
        </w:rPr>
        <w:t>d</w:t>
      </w:r>
      <w:r w:rsidR="00311EFF" w:rsidRPr="00DD1D71">
        <w:rPr>
          <w:rFonts w:eastAsia="仿宋_GB2312"/>
          <w:bCs/>
          <w:sz w:val="28"/>
          <w:szCs w:val="28"/>
          <w:lang w:val="en-US"/>
        </w:rPr>
        <w:t xml:space="preserve"> </w:t>
      </w:r>
      <w:r w:rsidR="00DD1D71" w:rsidRPr="00DD1D71">
        <w:rPr>
          <w:rFonts w:eastAsia="仿宋_GB2312"/>
          <w:bCs/>
          <w:sz w:val="28"/>
          <w:szCs w:val="28"/>
          <w:lang w:val="en-US"/>
        </w:rPr>
        <w:t xml:space="preserve">a pre-investment valuation of </w:t>
      </w:r>
      <w:r w:rsidR="009A73AE">
        <w:rPr>
          <w:rFonts w:eastAsia="仿宋_GB2312"/>
          <w:bCs/>
          <w:sz w:val="28"/>
          <w:szCs w:val="28"/>
          <w:lang w:val="en-US"/>
        </w:rPr>
        <w:t xml:space="preserve">RMB </w:t>
      </w:r>
      <w:r w:rsidR="00DD1D71" w:rsidRPr="00DD1D71">
        <w:rPr>
          <w:rFonts w:eastAsia="仿宋_GB2312"/>
          <w:bCs/>
          <w:sz w:val="28"/>
          <w:szCs w:val="28"/>
          <w:lang w:val="en-US"/>
        </w:rPr>
        <w:t xml:space="preserve">2.5 billion, corresponding to </w:t>
      </w:r>
      <w:r w:rsidR="00311EFF">
        <w:rPr>
          <w:rFonts w:eastAsia="仿宋_GB2312"/>
          <w:bCs/>
          <w:sz w:val="28"/>
          <w:szCs w:val="28"/>
          <w:lang w:val="en-US"/>
        </w:rPr>
        <w:t xml:space="preserve">a </w:t>
      </w:r>
      <w:r w:rsidR="00DD1D71" w:rsidRPr="00DD1D71">
        <w:rPr>
          <w:rFonts w:eastAsia="仿宋_GB2312"/>
          <w:bCs/>
          <w:sz w:val="28"/>
          <w:szCs w:val="28"/>
          <w:lang w:val="en-US"/>
        </w:rPr>
        <w:t>2017</w:t>
      </w:r>
      <w:r w:rsidR="00311EFF" w:rsidRPr="00311EFF">
        <w:rPr>
          <w:rFonts w:eastAsia="仿宋_GB2312"/>
          <w:bCs/>
          <w:sz w:val="28"/>
          <w:szCs w:val="28"/>
          <w:lang w:val="en-US"/>
        </w:rPr>
        <w:t xml:space="preserve"> </w:t>
      </w:r>
      <w:r w:rsidR="00311EFF" w:rsidRPr="00DD1D71">
        <w:rPr>
          <w:rFonts w:eastAsia="仿宋_GB2312"/>
          <w:bCs/>
          <w:sz w:val="28"/>
          <w:szCs w:val="28"/>
          <w:lang w:val="en-US"/>
        </w:rPr>
        <w:t>P</w:t>
      </w:r>
      <w:r w:rsidR="00311EFF">
        <w:rPr>
          <w:rFonts w:eastAsia="仿宋_GB2312"/>
          <w:bCs/>
          <w:sz w:val="28"/>
          <w:szCs w:val="28"/>
          <w:lang w:val="en-US"/>
        </w:rPr>
        <w:t>/</w:t>
      </w:r>
      <w:r w:rsidR="00311EFF" w:rsidRPr="00DD1D71">
        <w:rPr>
          <w:rFonts w:eastAsia="仿宋_GB2312"/>
          <w:bCs/>
          <w:sz w:val="28"/>
          <w:szCs w:val="28"/>
          <w:lang w:val="en-US"/>
        </w:rPr>
        <w:t>E</w:t>
      </w:r>
      <w:r w:rsidR="00DD1D71" w:rsidRPr="00DD1D71">
        <w:rPr>
          <w:rFonts w:eastAsia="仿宋_GB2312"/>
          <w:bCs/>
          <w:sz w:val="28"/>
          <w:szCs w:val="28"/>
          <w:lang w:val="en-US"/>
        </w:rPr>
        <w:t xml:space="preserve"> </w:t>
      </w:r>
      <w:r w:rsidR="00311EFF">
        <w:rPr>
          <w:rFonts w:eastAsia="仿宋_GB2312"/>
          <w:bCs/>
          <w:sz w:val="28"/>
          <w:szCs w:val="28"/>
          <w:lang w:val="en-US"/>
        </w:rPr>
        <w:t>of</w:t>
      </w:r>
      <w:r w:rsidR="00DD1D71" w:rsidRPr="00DD1D71">
        <w:rPr>
          <w:rFonts w:eastAsia="仿宋_GB2312"/>
          <w:bCs/>
          <w:sz w:val="28"/>
          <w:szCs w:val="28"/>
          <w:lang w:val="en-US"/>
        </w:rPr>
        <w:t xml:space="preserve"> 21.7</w:t>
      </w:r>
      <w:r w:rsidR="00311EFF">
        <w:rPr>
          <w:rFonts w:eastAsia="仿宋_GB2312"/>
          <w:bCs/>
          <w:sz w:val="28"/>
          <w:szCs w:val="28"/>
          <w:lang w:val="en-US"/>
        </w:rPr>
        <w:t>x</w:t>
      </w:r>
      <w:r w:rsidR="00DD1D71" w:rsidRPr="00DD1D71">
        <w:rPr>
          <w:rFonts w:eastAsia="仿宋_GB2312"/>
          <w:bCs/>
          <w:sz w:val="28"/>
          <w:szCs w:val="28"/>
          <w:lang w:val="en-US"/>
        </w:rPr>
        <w:t xml:space="preserve">. In </w:t>
      </w:r>
      <w:r w:rsidR="00311EFF">
        <w:rPr>
          <w:rFonts w:eastAsia="仿宋_GB2312"/>
          <w:bCs/>
          <w:sz w:val="28"/>
          <w:szCs w:val="28"/>
          <w:lang w:val="en-US"/>
        </w:rPr>
        <w:lastRenderedPageBreak/>
        <w:t>response to SOE investment bidding process and criteria</w:t>
      </w:r>
      <w:r w:rsidR="00DD1D71">
        <w:rPr>
          <w:rFonts w:eastAsia="仿宋_GB2312"/>
          <w:bCs/>
          <w:sz w:val="28"/>
          <w:szCs w:val="28"/>
          <w:lang w:val="en-US"/>
        </w:rPr>
        <w:t>, Chang Yuan</w:t>
      </w:r>
      <w:r w:rsidR="00DD1D71" w:rsidRPr="00DD1D71">
        <w:rPr>
          <w:rFonts w:eastAsia="仿宋_GB2312"/>
          <w:bCs/>
          <w:sz w:val="28"/>
          <w:szCs w:val="28"/>
          <w:lang w:val="en-US"/>
        </w:rPr>
        <w:t xml:space="preserve"> Lithium </w:t>
      </w:r>
      <w:r w:rsidR="00CC251A">
        <w:rPr>
          <w:rFonts w:eastAsia="仿宋_GB2312"/>
          <w:bCs/>
          <w:sz w:val="28"/>
          <w:szCs w:val="28"/>
          <w:lang w:val="en-US"/>
        </w:rPr>
        <w:t>required</w:t>
      </w:r>
      <w:r w:rsidR="00DD1D71" w:rsidRPr="00DD1D71">
        <w:rPr>
          <w:rFonts w:eastAsia="仿宋_GB2312"/>
          <w:bCs/>
          <w:sz w:val="28"/>
          <w:szCs w:val="28"/>
          <w:lang w:val="en-US"/>
        </w:rPr>
        <w:t xml:space="preserve"> investors to pay 30% of the</w:t>
      </w:r>
      <w:r w:rsidR="00BE7D3B">
        <w:rPr>
          <w:rFonts w:eastAsia="仿宋_GB2312"/>
          <w:bCs/>
          <w:sz w:val="28"/>
          <w:szCs w:val="28"/>
          <w:lang w:val="en-US"/>
        </w:rPr>
        <w:t>ir proposed</w:t>
      </w:r>
      <w:r w:rsidR="00DD1D71" w:rsidRPr="00DD1D71">
        <w:rPr>
          <w:rFonts w:eastAsia="仿宋_GB2312"/>
          <w:bCs/>
          <w:sz w:val="28"/>
          <w:szCs w:val="28"/>
          <w:lang w:val="en-US"/>
        </w:rPr>
        <w:t xml:space="preserve"> investment amount in </w:t>
      </w:r>
      <w:r w:rsidR="007364A0">
        <w:rPr>
          <w:rFonts w:eastAsia="仿宋_GB2312"/>
          <w:bCs/>
          <w:sz w:val="28"/>
          <w:szCs w:val="28"/>
          <w:lang w:val="en-US"/>
        </w:rPr>
        <w:t xml:space="preserve">advance, </w:t>
      </w:r>
      <w:r w:rsidR="00BE7D3B">
        <w:rPr>
          <w:rFonts w:eastAsia="仿宋_GB2312"/>
          <w:bCs/>
          <w:sz w:val="28"/>
          <w:szCs w:val="28"/>
          <w:lang w:val="en-US"/>
        </w:rPr>
        <w:t>a requirement which our LPs could not</w:t>
      </w:r>
      <w:r w:rsidR="007364A0">
        <w:rPr>
          <w:rFonts w:eastAsia="仿宋_GB2312"/>
          <w:bCs/>
          <w:sz w:val="28"/>
          <w:szCs w:val="28"/>
          <w:lang w:val="en-US"/>
        </w:rPr>
        <w:t xml:space="preserve"> fulfill. In addition, the target company </w:t>
      </w:r>
      <w:r w:rsidR="00BE7D3B">
        <w:rPr>
          <w:rFonts w:eastAsia="仿宋_GB2312"/>
          <w:bCs/>
          <w:sz w:val="28"/>
          <w:szCs w:val="28"/>
          <w:lang w:val="en-US"/>
        </w:rPr>
        <w:t>could not provide an exit / IPO</w:t>
      </w:r>
      <w:r w:rsidR="00DD1D71" w:rsidRPr="00DD1D71">
        <w:rPr>
          <w:rFonts w:eastAsia="仿宋_GB2312"/>
          <w:bCs/>
          <w:sz w:val="28"/>
          <w:szCs w:val="28"/>
          <w:lang w:val="en-US"/>
        </w:rPr>
        <w:t xml:space="preserve"> </w:t>
      </w:r>
      <w:r w:rsidR="00CC251A">
        <w:rPr>
          <w:rFonts w:eastAsia="仿宋_GB2312"/>
          <w:bCs/>
          <w:sz w:val="28"/>
          <w:szCs w:val="28"/>
          <w:lang w:val="en-US"/>
        </w:rPr>
        <w:t>timeframe</w:t>
      </w:r>
      <w:r w:rsidR="00BE7D3B">
        <w:rPr>
          <w:rFonts w:eastAsia="仿宋_GB2312"/>
          <w:bCs/>
          <w:sz w:val="28"/>
          <w:szCs w:val="28"/>
          <w:lang w:val="en-US"/>
        </w:rPr>
        <w:t xml:space="preserve"> and strategy which was acceptable to our potential LPs</w:t>
      </w:r>
      <w:r w:rsidR="007364A0">
        <w:rPr>
          <w:rFonts w:eastAsia="仿宋_GB2312"/>
          <w:bCs/>
          <w:sz w:val="28"/>
          <w:szCs w:val="28"/>
          <w:lang w:val="en-US"/>
        </w:rPr>
        <w:t>. As a result</w:t>
      </w:r>
      <w:r w:rsidR="00BE7D3B">
        <w:rPr>
          <w:rFonts w:eastAsia="仿宋_GB2312"/>
          <w:bCs/>
          <w:sz w:val="28"/>
          <w:szCs w:val="28"/>
          <w:lang w:val="en-US"/>
        </w:rPr>
        <w:t xml:space="preserve"> of the expensive valuation, upfront funding requirement and lack of visibility on exit</w:t>
      </w:r>
      <w:r w:rsidR="007364A0">
        <w:rPr>
          <w:rFonts w:eastAsia="仿宋_GB2312"/>
          <w:bCs/>
          <w:sz w:val="28"/>
          <w:szCs w:val="28"/>
          <w:lang w:val="en-US"/>
        </w:rPr>
        <w:t>, the C</w:t>
      </w:r>
      <w:r w:rsidR="00DD1D71" w:rsidRPr="00DD1D71">
        <w:rPr>
          <w:rFonts w:eastAsia="仿宋_GB2312"/>
          <w:bCs/>
          <w:sz w:val="28"/>
          <w:szCs w:val="28"/>
          <w:lang w:val="en-US"/>
        </w:rPr>
        <w:t>omp</w:t>
      </w:r>
      <w:r w:rsidR="007364A0">
        <w:rPr>
          <w:rFonts w:eastAsia="仿宋_GB2312"/>
          <w:bCs/>
          <w:sz w:val="28"/>
          <w:szCs w:val="28"/>
          <w:lang w:val="en-US"/>
        </w:rPr>
        <w:t xml:space="preserve">any decided to </w:t>
      </w:r>
      <w:r w:rsidR="00BE7D3B">
        <w:rPr>
          <w:rFonts w:eastAsia="仿宋_GB2312"/>
          <w:bCs/>
          <w:sz w:val="28"/>
          <w:szCs w:val="28"/>
          <w:lang w:val="en-US"/>
        </w:rPr>
        <w:t>forego this investment</w:t>
      </w:r>
      <w:r w:rsidR="007364A0">
        <w:rPr>
          <w:rFonts w:eastAsia="仿宋_GB2312"/>
          <w:bCs/>
          <w:sz w:val="28"/>
          <w:szCs w:val="28"/>
          <w:lang w:val="en-US"/>
        </w:rPr>
        <w:t>.</w:t>
      </w:r>
    </w:p>
    <w:p w14:paraId="60785A64" w14:textId="7AD76747" w:rsidR="009556E2" w:rsidRPr="00A6747F" w:rsidRDefault="00F66302" w:rsidP="009556E2">
      <w:pPr>
        <w:tabs>
          <w:tab w:val="left" w:pos="330"/>
        </w:tabs>
        <w:spacing w:before="220" w:after="220" w:line="360" w:lineRule="auto"/>
        <w:jc w:val="both"/>
        <w:rPr>
          <w:rFonts w:eastAsia="仿宋_GB2312"/>
          <w:b/>
          <w:bCs/>
          <w:sz w:val="28"/>
          <w:szCs w:val="28"/>
          <w:lang w:val="en-US"/>
        </w:rPr>
      </w:pPr>
      <w:r w:rsidRPr="00A6747F">
        <w:rPr>
          <w:rFonts w:eastAsia="仿宋_GB2312" w:hint="eastAsia"/>
          <w:b/>
          <w:bCs/>
          <w:sz w:val="28"/>
          <w:szCs w:val="28"/>
          <w:lang w:val="en-US"/>
        </w:rPr>
        <w:t>R</w:t>
      </w:r>
      <w:r w:rsidRPr="00A6747F">
        <w:rPr>
          <w:rFonts w:eastAsia="仿宋_GB2312"/>
          <w:b/>
          <w:bCs/>
          <w:sz w:val="28"/>
          <w:szCs w:val="28"/>
          <w:lang w:val="en-US"/>
        </w:rPr>
        <w:t>OA</w:t>
      </w:r>
      <w:r w:rsidR="00BE7D3B">
        <w:rPr>
          <w:rFonts w:eastAsia="仿宋_GB2312"/>
          <w:b/>
          <w:bCs/>
          <w:sz w:val="28"/>
          <w:szCs w:val="28"/>
          <w:lang w:val="en-US"/>
        </w:rPr>
        <w:t>D</w:t>
      </w:r>
      <w:r w:rsidRPr="00A6747F">
        <w:rPr>
          <w:rFonts w:eastAsia="仿宋_GB2312"/>
          <w:b/>
          <w:bCs/>
          <w:sz w:val="28"/>
          <w:szCs w:val="28"/>
          <w:lang w:val="en-US"/>
        </w:rPr>
        <w:t>ST</w:t>
      </w:r>
      <w:r w:rsidR="00AB2746">
        <w:rPr>
          <w:rFonts w:eastAsia="仿宋_GB2312"/>
          <w:b/>
          <w:bCs/>
          <w:sz w:val="28"/>
          <w:szCs w:val="28"/>
          <w:lang w:val="en-US"/>
        </w:rPr>
        <w:t>ARAI</w:t>
      </w:r>
    </w:p>
    <w:p w14:paraId="5DAB4651" w14:textId="433C8A47" w:rsidR="00F66302" w:rsidRDefault="00621D4D" w:rsidP="009A2AEF">
      <w:pPr>
        <w:spacing w:line="360" w:lineRule="auto"/>
        <w:jc w:val="both"/>
        <w:rPr>
          <w:rFonts w:eastAsia="仿宋_GB2312"/>
          <w:bCs/>
          <w:sz w:val="28"/>
          <w:szCs w:val="28"/>
          <w:lang w:val="en-US"/>
        </w:rPr>
      </w:pPr>
      <w:r>
        <w:rPr>
          <w:rFonts w:eastAsia="仿宋_GB2312"/>
          <w:bCs/>
          <w:sz w:val="28"/>
          <w:szCs w:val="28"/>
          <w:lang w:val="en-US"/>
        </w:rPr>
        <w:t xml:space="preserve">The target company </w:t>
      </w:r>
      <w:r w:rsidR="00F66302" w:rsidRPr="00F66302">
        <w:rPr>
          <w:rFonts w:eastAsia="仿宋_GB2312"/>
          <w:bCs/>
          <w:sz w:val="28"/>
          <w:szCs w:val="28"/>
          <w:lang w:val="en-US"/>
        </w:rPr>
        <w:t xml:space="preserve">specializes in the development of complete auto-driving technologies </w:t>
      </w:r>
      <w:r>
        <w:rPr>
          <w:rFonts w:eastAsia="仿宋_GB2312"/>
          <w:bCs/>
          <w:sz w:val="28"/>
          <w:szCs w:val="28"/>
          <w:lang w:val="en-US"/>
        </w:rPr>
        <w:t xml:space="preserve">and solutions for the L4 class, which has </w:t>
      </w:r>
      <w:r w:rsidR="00D12AAD">
        <w:rPr>
          <w:rFonts w:eastAsia="仿宋_GB2312"/>
          <w:bCs/>
          <w:sz w:val="28"/>
          <w:szCs w:val="28"/>
          <w:lang w:val="en-US"/>
        </w:rPr>
        <w:t>launch</w:t>
      </w:r>
      <w:r>
        <w:rPr>
          <w:rFonts w:eastAsia="仿宋_GB2312"/>
          <w:bCs/>
          <w:sz w:val="28"/>
          <w:szCs w:val="28"/>
          <w:lang w:val="en-US"/>
        </w:rPr>
        <w:t>ed a</w:t>
      </w:r>
      <w:r w:rsidRPr="00F66302">
        <w:rPr>
          <w:rFonts w:eastAsia="仿宋_GB2312"/>
          <w:bCs/>
          <w:sz w:val="28"/>
          <w:szCs w:val="28"/>
          <w:lang w:val="en-US"/>
        </w:rPr>
        <w:t xml:space="preserve"> r</w:t>
      </w:r>
      <w:r>
        <w:rPr>
          <w:rFonts w:eastAsia="仿宋_GB2312"/>
          <w:bCs/>
          <w:sz w:val="28"/>
          <w:szCs w:val="28"/>
          <w:lang w:val="en-US"/>
        </w:rPr>
        <w:t>oad test</w:t>
      </w:r>
      <w:r w:rsidR="00B06488" w:rsidRPr="00B06488">
        <w:rPr>
          <w:rFonts w:eastAsia="仿宋_GB2312"/>
          <w:bCs/>
          <w:sz w:val="28"/>
          <w:szCs w:val="28"/>
          <w:lang w:val="en-US"/>
        </w:rPr>
        <w:t xml:space="preserve"> </w:t>
      </w:r>
      <w:r w:rsidR="00B06488">
        <w:rPr>
          <w:rFonts w:eastAsia="仿宋_GB2312"/>
          <w:bCs/>
          <w:sz w:val="28"/>
          <w:szCs w:val="28"/>
          <w:lang w:val="en-US"/>
        </w:rPr>
        <w:t xml:space="preserve">in </w:t>
      </w:r>
      <w:r w:rsidR="00B06488" w:rsidRPr="00F66302">
        <w:rPr>
          <w:rFonts w:eastAsia="仿宋_GB2312"/>
          <w:bCs/>
          <w:sz w:val="28"/>
          <w:szCs w:val="28"/>
          <w:lang w:val="en-US"/>
        </w:rPr>
        <w:t>California</w:t>
      </w:r>
      <w:r w:rsidR="00B06488">
        <w:rPr>
          <w:rFonts w:eastAsia="仿宋_GB2312"/>
          <w:bCs/>
          <w:sz w:val="28"/>
          <w:szCs w:val="28"/>
          <w:lang w:val="en-US"/>
        </w:rPr>
        <w:t xml:space="preserve"> and Shenzhen</w:t>
      </w:r>
      <w:r>
        <w:rPr>
          <w:rFonts w:eastAsia="仿宋_GB2312"/>
          <w:bCs/>
          <w:sz w:val="28"/>
          <w:szCs w:val="28"/>
          <w:lang w:val="en-US"/>
        </w:rPr>
        <w:t xml:space="preserve">. </w:t>
      </w:r>
      <w:r w:rsidR="00F66302" w:rsidRPr="00F66302">
        <w:rPr>
          <w:rFonts w:eastAsia="仿宋_GB2312"/>
          <w:bCs/>
          <w:sz w:val="28"/>
          <w:szCs w:val="28"/>
          <w:lang w:val="en-US"/>
        </w:rPr>
        <w:t xml:space="preserve">In the first quarter of 2018, </w:t>
      </w:r>
      <w:r w:rsidR="002207C3">
        <w:rPr>
          <w:rFonts w:eastAsia="仿宋_GB2312"/>
          <w:bCs/>
          <w:sz w:val="28"/>
          <w:szCs w:val="28"/>
          <w:lang w:val="en-US"/>
        </w:rPr>
        <w:t xml:space="preserve">the target’s </w:t>
      </w:r>
      <w:r w:rsidR="00F66302" w:rsidRPr="00F66302">
        <w:rPr>
          <w:rFonts w:eastAsia="仿宋_GB2312"/>
          <w:bCs/>
          <w:sz w:val="28"/>
          <w:szCs w:val="28"/>
          <w:lang w:val="en-US"/>
        </w:rPr>
        <w:t xml:space="preserve">Series A </w:t>
      </w:r>
      <w:r w:rsidR="002207C3">
        <w:rPr>
          <w:rFonts w:eastAsia="仿宋_GB2312"/>
          <w:bCs/>
          <w:sz w:val="28"/>
          <w:szCs w:val="28"/>
          <w:lang w:val="en-US"/>
        </w:rPr>
        <w:t xml:space="preserve">financing </w:t>
      </w:r>
      <w:r w:rsidR="00A82240">
        <w:rPr>
          <w:rFonts w:eastAsia="仿宋_GB2312"/>
          <w:bCs/>
          <w:sz w:val="28"/>
          <w:szCs w:val="28"/>
          <w:lang w:val="en-US"/>
        </w:rPr>
        <w:t>had</w:t>
      </w:r>
      <w:r w:rsidR="00F66302" w:rsidRPr="00F66302">
        <w:rPr>
          <w:rFonts w:eastAsia="仿宋_GB2312"/>
          <w:bCs/>
          <w:sz w:val="28"/>
          <w:szCs w:val="28"/>
          <w:lang w:val="en-US"/>
        </w:rPr>
        <w:t xml:space="preserve"> a </w:t>
      </w:r>
      <w:r w:rsidR="007364A0">
        <w:rPr>
          <w:rFonts w:eastAsia="仿宋_GB2312"/>
          <w:bCs/>
          <w:sz w:val="28"/>
          <w:szCs w:val="28"/>
          <w:lang w:val="en-US"/>
        </w:rPr>
        <w:t xml:space="preserve">proposed financing amount of USD </w:t>
      </w:r>
      <w:r w:rsidR="00F66302" w:rsidRPr="00F66302">
        <w:rPr>
          <w:rFonts w:eastAsia="仿宋_GB2312"/>
          <w:bCs/>
          <w:sz w:val="28"/>
          <w:szCs w:val="28"/>
          <w:lang w:val="en-US"/>
        </w:rPr>
        <w:t xml:space="preserve">60 million </w:t>
      </w:r>
      <w:r w:rsidR="002207C3">
        <w:rPr>
          <w:rFonts w:eastAsia="仿宋_GB2312"/>
          <w:bCs/>
          <w:sz w:val="28"/>
          <w:szCs w:val="28"/>
          <w:lang w:val="en-US"/>
        </w:rPr>
        <w:t>at</w:t>
      </w:r>
      <w:r w:rsidR="002207C3" w:rsidRPr="00F66302">
        <w:rPr>
          <w:rFonts w:eastAsia="仿宋_GB2312"/>
          <w:bCs/>
          <w:sz w:val="28"/>
          <w:szCs w:val="28"/>
          <w:lang w:val="en-US"/>
        </w:rPr>
        <w:t xml:space="preserve"> </w:t>
      </w:r>
      <w:r w:rsidR="00F66302" w:rsidRPr="00F66302">
        <w:rPr>
          <w:rFonts w:eastAsia="仿宋_GB2312"/>
          <w:bCs/>
          <w:sz w:val="28"/>
          <w:szCs w:val="28"/>
          <w:lang w:val="en-US"/>
        </w:rPr>
        <w:t>a pre</w:t>
      </w:r>
      <w:r w:rsidR="002207C3">
        <w:rPr>
          <w:rFonts w:eastAsia="仿宋_GB2312"/>
          <w:bCs/>
          <w:sz w:val="28"/>
          <w:szCs w:val="28"/>
          <w:lang w:val="en-US"/>
        </w:rPr>
        <w:t>-money</w:t>
      </w:r>
      <w:r w:rsidR="007364A0">
        <w:rPr>
          <w:rFonts w:eastAsia="仿宋_GB2312"/>
          <w:bCs/>
          <w:sz w:val="28"/>
          <w:szCs w:val="28"/>
          <w:lang w:val="en-US"/>
        </w:rPr>
        <w:t xml:space="preserve"> valuation of USD</w:t>
      </w:r>
      <w:r w:rsidR="00A82240">
        <w:rPr>
          <w:rFonts w:eastAsia="仿宋_GB2312"/>
          <w:bCs/>
          <w:sz w:val="28"/>
          <w:szCs w:val="28"/>
          <w:lang w:val="en-US"/>
        </w:rPr>
        <w:t xml:space="preserve"> </w:t>
      </w:r>
      <w:r w:rsidR="007364A0">
        <w:rPr>
          <w:rFonts w:eastAsia="仿宋_GB2312"/>
          <w:bCs/>
          <w:sz w:val="28"/>
          <w:szCs w:val="28"/>
          <w:lang w:val="en-US"/>
        </w:rPr>
        <w:t xml:space="preserve">300 million. Due to the </w:t>
      </w:r>
      <w:r w:rsidR="00F66302" w:rsidRPr="00F66302">
        <w:rPr>
          <w:rFonts w:eastAsia="仿宋_GB2312"/>
          <w:bCs/>
          <w:sz w:val="28"/>
          <w:szCs w:val="28"/>
          <w:lang w:val="en-US"/>
        </w:rPr>
        <w:t xml:space="preserve">high valuation of </w:t>
      </w:r>
      <w:r w:rsidR="007364A0">
        <w:rPr>
          <w:rFonts w:eastAsia="仿宋_GB2312"/>
          <w:bCs/>
          <w:sz w:val="28"/>
          <w:szCs w:val="28"/>
          <w:lang w:val="en-US"/>
        </w:rPr>
        <w:t xml:space="preserve">the </w:t>
      </w:r>
      <w:r w:rsidR="00F66302" w:rsidRPr="00F66302">
        <w:rPr>
          <w:rFonts w:eastAsia="仿宋_GB2312"/>
          <w:bCs/>
          <w:sz w:val="28"/>
          <w:szCs w:val="28"/>
          <w:lang w:val="en-US"/>
        </w:rPr>
        <w:t xml:space="preserve">Series A </w:t>
      </w:r>
      <w:r w:rsidR="007364A0">
        <w:rPr>
          <w:rFonts w:eastAsia="仿宋_GB2312"/>
          <w:bCs/>
          <w:sz w:val="28"/>
          <w:szCs w:val="28"/>
          <w:lang w:val="en-US"/>
        </w:rPr>
        <w:t>round</w:t>
      </w:r>
      <w:r w:rsidR="00F66302" w:rsidRPr="00F66302">
        <w:rPr>
          <w:rFonts w:eastAsia="仿宋_GB2312"/>
          <w:bCs/>
          <w:sz w:val="28"/>
          <w:szCs w:val="28"/>
          <w:lang w:val="en-US"/>
        </w:rPr>
        <w:t>, no investment was made.</w:t>
      </w:r>
      <w:r w:rsidR="00B06488" w:rsidRPr="009A2AEF">
        <w:rPr>
          <w:rFonts w:eastAsia="仿宋_GB2312" w:hint="eastAsia"/>
          <w:bCs/>
          <w:sz w:val="28"/>
          <w:szCs w:val="28"/>
          <w:lang w:val="en-US"/>
        </w:rPr>
        <w:t xml:space="preserve"> </w:t>
      </w:r>
    </w:p>
    <w:p w14:paraId="6CDA1D7B" w14:textId="77608499" w:rsidR="00F66302" w:rsidRPr="006A7FD4" w:rsidRDefault="00F66302" w:rsidP="009556E2">
      <w:pPr>
        <w:tabs>
          <w:tab w:val="left" w:pos="330"/>
        </w:tabs>
        <w:spacing w:before="220" w:after="220" w:line="360" w:lineRule="auto"/>
        <w:jc w:val="both"/>
        <w:rPr>
          <w:rFonts w:eastAsia="仿宋_GB2312"/>
          <w:b/>
          <w:bCs/>
          <w:sz w:val="28"/>
          <w:szCs w:val="28"/>
          <w:lang w:val="en-US"/>
        </w:rPr>
      </w:pPr>
      <w:r w:rsidRPr="006A7FD4">
        <w:rPr>
          <w:rFonts w:eastAsia="仿宋_GB2312"/>
          <w:b/>
          <w:bCs/>
          <w:sz w:val="28"/>
          <w:szCs w:val="28"/>
          <w:lang w:val="en-US"/>
        </w:rPr>
        <w:t>DEEPHI TECH</w:t>
      </w:r>
    </w:p>
    <w:p w14:paraId="1872A64B" w14:textId="623F65C5" w:rsidR="00F66302" w:rsidRPr="008272E8" w:rsidRDefault="00196EB9" w:rsidP="009A2AEF">
      <w:pPr>
        <w:spacing w:line="360" w:lineRule="auto"/>
        <w:jc w:val="both"/>
        <w:rPr>
          <w:rFonts w:eastAsia="仿宋_GB2312"/>
          <w:bCs/>
          <w:sz w:val="28"/>
          <w:szCs w:val="28"/>
          <w:lang w:val="en-US"/>
        </w:rPr>
      </w:pPr>
      <w:r>
        <w:rPr>
          <w:rFonts w:eastAsia="仿宋_GB2312"/>
          <w:bCs/>
          <w:sz w:val="28"/>
          <w:szCs w:val="28"/>
          <w:lang w:val="en-US"/>
        </w:rPr>
        <w:t xml:space="preserve">The target company </w:t>
      </w:r>
      <w:r w:rsidR="00CA1CF7" w:rsidRPr="00CA1CF7">
        <w:rPr>
          <w:rFonts w:eastAsia="仿宋_GB2312"/>
          <w:bCs/>
          <w:sz w:val="28"/>
          <w:szCs w:val="28"/>
          <w:lang w:val="en-US"/>
        </w:rPr>
        <w:t xml:space="preserve">is a leading AI chip company in China and is committed to becoming an international advanced deep learning acceleration solution provider. </w:t>
      </w:r>
      <w:r w:rsidR="00CA1CF7">
        <w:rPr>
          <w:rFonts w:eastAsia="仿宋_GB2312"/>
          <w:bCs/>
          <w:sz w:val="28"/>
          <w:szCs w:val="28"/>
          <w:lang w:val="en-US"/>
        </w:rPr>
        <w:t>It</w:t>
      </w:r>
      <w:r w:rsidR="00CA1CF7" w:rsidRPr="00CA1CF7">
        <w:rPr>
          <w:rFonts w:eastAsia="仿宋_GB2312"/>
          <w:bCs/>
          <w:sz w:val="28"/>
          <w:szCs w:val="28"/>
          <w:lang w:val="en-US"/>
        </w:rPr>
        <w:t xml:space="preserve"> has applied to areas such as security and data centers for deep learning of images and voice processing.</w:t>
      </w:r>
      <w:r w:rsidR="00CA1CF7">
        <w:rPr>
          <w:rFonts w:eastAsia="仿宋_GB2312"/>
          <w:bCs/>
          <w:sz w:val="28"/>
          <w:szCs w:val="28"/>
          <w:lang w:val="en-US"/>
        </w:rPr>
        <w:t xml:space="preserve"> The C</w:t>
      </w:r>
      <w:r w:rsidR="004E0B9F">
        <w:rPr>
          <w:rFonts w:eastAsia="仿宋_GB2312"/>
          <w:bCs/>
          <w:sz w:val="28"/>
          <w:szCs w:val="28"/>
          <w:lang w:val="en-US"/>
        </w:rPr>
        <w:t xml:space="preserve">ompany intended </w:t>
      </w:r>
      <w:r w:rsidR="00CA1CF7">
        <w:rPr>
          <w:rFonts w:eastAsia="仿宋_GB2312"/>
          <w:bCs/>
          <w:sz w:val="28"/>
          <w:szCs w:val="28"/>
          <w:lang w:val="en-US"/>
        </w:rPr>
        <w:t>to participate in the Series C r</w:t>
      </w:r>
      <w:r w:rsidR="004E0B9F">
        <w:rPr>
          <w:rFonts w:eastAsia="仿宋_GB2312"/>
          <w:bCs/>
          <w:sz w:val="28"/>
          <w:szCs w:val="28"/>
          <w:lang w:val="en-US"/>
        </w:rPr>
        <w:t>ound</w:t>
      </w:r>
      <w:r w:rsidR="002207C3">
        <w:rPr>
          <w:rFonts w:eastAsia="仿宋_GB2312"/>
          <w:bCs/>
          <w:sz w:val="28"/>
          <w:szCs w:val="28"/>
          <w:lang w:val="en-US"/>
        </w:rPr>
        <w:t xml:space="preserve"> but before we were </w:t>
      </w:r>
      <w:r w:rsidR="002207C3">
        <w:rPr>
          <w:rFonts w:eastAsia="仿宋_GB2312"/>
          <w:bCs/>
          <w:sz w:val="28"/>
          <w:szCs w:val="28"/>
          <w:lang w:val="en-US"/>
        </w:rPr>
        <w:lastRenderedPageBreak/>
        <w:t xml:space="preserve">able to make the investment, </w:t>
      </w:r>
      <w:r>
        <w:rPr>
          <w:rFonts w:eastAsia="仿宋_GB2312"/>
          <w:bCs/>
          <w:sz w:val="28"/>
          <w:szCs w:val="28"/>
          <w:lang w:val="en-US"/>
        </w:rPr>
        <w:t xml:space="preserve">the target company </w:t>
      </w:r>
      <w:r w:rsidR="00F66302" w:rsidRPr="00F66302">
        <w:rPr>
          <w:rFonts w:eastAsia="仿宋_GB2312"/>
          <w:bCs/>
          <w:sz w:val="28"/>
          <w:szCs w:val="28"/>
          <w:lang w:val="en-US"/>
        </w:rPr>
        <w:t xml:space="preserve">was </w:t>
      </w:r>
      <w:r w:rsidR="002207C3" w:rsidRPr="001B00FF">
        <w:rPr>
          <w:rFonts w:eastAsia="仿宋_GB2312"/>
          <w:bCs/>
          <w:sz w:val="28"/>
          <w:szCs w:val="28"/>
          <w:lang w:val="en-US"/>
        </w:rPr>
        <w:t>fully</w:t>
      </w:r>
      <w:r w:rsidR="002207C3">
        <w:rPr>
          <w:rFonts w:eastAsia="仿宋_GB2312"/>
          <w:bCs/>
          <w:sz w:val="28"/>
          <w:szCs w:val="28"/>
          <w:lang w:val="en-US"/>
        </w:rPr>
        <w:t xml:space="preserve"> </w:t>
      </w:r>
      <w:r w:rsidR="00F66302" w:rsidRPr="00F66302">
        <w:rPr>
          <w:rFonts w:eastAsia="仿宋_GB2312"/>
          <w:bCs/>
          <w:sz w:val="28"/>
          <w:szCs w:val="28"/>
          <w:lang w:val="en-US"/>
        </w:rPr>
        <w:t>acquired by Xilinx in July 2018.</w:t>
      </w:r>
      <w:r w:rsidR="00B06488" w:rsidRPr="009A2AEF">
        <w:rPr>
          <w:rFonts w:eastAsia="仿宋_GB2312" w:hint="eastAsia"/>
          <w:bCs/>
          <w:sz w:val="28"/>
          <w:szCs w:val="28"/>
          <w:lang w:val="en-US"/>
        </w:rPr>
        <w:t xml:space="preserve"> </w:t>
      </w:r>
    </w:p>
    <w:p w14:paraId="55F8DE79" w14:textId="085DCC51" w:rsidR="00F66302" w:rsidRPr="006A7FD4" w:rsidRDefault="00F66302" w:rsidP="009556E2">
      <w:pPr>
        <w:tabs>
          <w:tab w:val="left" w:pos="330"/>
        </w:tabs>
        <w:spacing w:before="220" w:after="220" w:line="360" w:lineRule="auto"/>
        <w:jc w:val="both"/>
        <w:rPr>
          <w:rFonts w:eastAsia="仿宋_GB2312"/>
          <w:b/>
          <w:bCs/>
          <w:sz w:val="28"/>
          <w:szCs w:val="28"/>
          <w:lang w:val="en-US"/>
        </w:rPr>
      </w:pPr>
      <w:r w:rsidRPr="006A7FD4">
        <w:rPr>
          <w:rFonts w:eastAsia="仿宋_GB2312"/>
          <w:b/>
          <w:bCs/>
          <w:sz w:val="28"/>
          <w:szCs w:val="28"/>
          <w:lang w:val="en-US"/>
        </w:rPr>
        <w:t>INFERVISION</w:t>
      </w:r>
    </w:p>
    <w:p w14:paraId="420DF47A" w14:textId="0CD16628" w:rsidR="00F66302" w:rsidRDefault="00196EB9" w:rsidP="009A2AEF">
      <w:pPr>
        <w:spacing w:line="360" w:lineRule="auto"/>
        <w:jc w:val="both"/>
        <w:rPr>
          <w:rFonts w:eastAsia="仿宋_GB2312"/>
          <w:bCs/>
          <w:sz w:val="28"/>
          <w:szCs w:val="28"/>
          <w:lang w:val="en-US"/>
        </w:rPr>
      </w:pPr>
      <w:r>
        <w:rPr>
          <w:rFonts w:eastAsia="仿宋_GB2312"/>
          <w:bCs/>
          <w:sz w:val="28"/>
          <w:szCs w:val="28"/>
          <w:lang w:val="en-US"/>
        </w:rPr>
        <w:t xml:space="preserve">The target company </w:t>
      </w:r>
      <w:r w:rsidR="001D3820">
        <w:rPr>
          <w:rFonts w:eastAsia="仿宋_GB2312"/>
          <w:bCs/>
          <w:sz w:val="28"/>
          <w:szCs w:val="28"/>
          <w:lang w:val="en-US"/>
        </w:rPr>
        <w:t xml:space="preserve">is </w:t>
      </w:r>
      <w:r w:rsidR="001D3820" w:rsidRPr="001D3820">
        <w:rPr>
          <w:rFonts w:eastAsia="仿宋_GB2312"/>
          <w:bCs/>
          <w:sz w:val="28"/>
          <w:szCs w:val="28"/>
          <w:lang w:val="en-US"/>
        </w:rPr>
        <w:t>one of the fastest</w:t>
      </w:r>
      <w:r w:rsidR="001D3820">
        <w:rPr>
          <w:rFonts w:eastAsia="仿宋_GB2312"/>
          <w:bCs/>
          <w:sz w:val="28"/>
          <w:szCs w:val="28"/>
          <w:lang w:val="en-US"/>
        </w:rPr>
        <w:t xml:space="preserve"> growing</w:t>
      </w:r>
      <w:r w:rsidR="001D3820" w:rsidRPr="001D3820">
        <w:rPr>
          <w:rFonts w:eastAsia="仿宋_GB2312"/>
          <w:bCs/>
          <w:sz w:val="28"/>
          <w:szCs w:val="28"/>
          <w:lang w:val="en-US"/>
        </w:rPr>
        <w:t xml:space="preserve"> AI medical companies in China. It is committed to applying deep learning technology to provide fast and accurate solutions for medical image assisted screening.</w:t>
      </w:r>
      <w:r w:rsidR="001D3820">
        <w:rPr>
          <w:rFonts w:eastAsia="仿宋_GB2312"/>
          <w:bCs/>
          <w:sz w:val="28"/>
          <w:szCs w:val="28"/>
          <w:lang w:val="en-US"/>
        </w:rPr>
        <w:t xml:space="preserve"> </w:t>
      </w:r>
      <w:r w:rsidR="00791E2F">
        <w:rPr>
          <w:rFonts w:eastAsia="仿宋_GB2312"/>
          <w:bCs/>
          <w:sz w:val="28"/>
          <w:szCs w:val="28"/>
          <w:lang w:val="en-US"/>
        </w:rPr>
        <w:t xml:space="preserve">Most recent </w:t>
      </w:r>
      <w:r w:rsidR="0005348D">
        <w:rPr>
          <w:rFonts w:eastAsia="仿宋_GB2312"/>
          <w:bCs/>
          <w:sz w:val="28"/>
          <w:szCs w:val="28"/>
          <w:lang w:val="en-US"/>
        </w:rPr>
        <w:t>Series C r</w:t>
      </w:r>
      <w:r>
        <w:rPr>
          <w:rFonts w:eastAsia="仿宋_GB2312"/>
          <w:bCs/>
          <w:sz w:val="28"/>
          <w:szCs w:val="28"/>
          <w:lang w:val="en-US"/>
        </w:rPr>
        <w:t xml:space="preserve">ound </w:t>
      </w:r>
      <w:r w:rsidR="00791E2F">
        <w:rPr>
          <w:rFonts w:eastAsia="仿宋_GB2312"/>
          <w:bCs/>
          <w:sz w:val="28"/>
          <w:szCs w:val="28"/>
          <w:lang w:val="en-US"/>
        </w:rPr>
        <w:t xml:space="preserve">had </w:t>
      </w:r>
      <w:r w:rsidR="00F66302" w:rsidRPr="00F66302">
        <w:rPr>
          <w:rFonts w:eastAsia="仿宋_GB2312"/>
          <w:bCs/>
          <w:sz w:val="28"/>
          <w:szCs w:val="28"/>
          <w:lang w:val="en-US"/>
        </w:rPr>
        <w:t>a pre-</w:t>
      </w:r>
      <w:r w:rsidR="00791E2F">
        <w:rPr>
          <w:rFonts w:eastAsia="仿宋_GB2312"/>
          <w:bCs/>
          <w:sz w:val="28"/>
          <w:szCs w:val="28"/>
          <w:lang w:val="en-US"/>
        </w:rPr>
        <w:t>money</w:t>
      </w:r>
      <w:r w:rsidR="00791E2F" w:rsidRPr="00F66302">
        <w:rPr>
          <w:rFonts w:eastAsia="仿宋_GB2312"/>
          <w:bCs/>
          <w:sz w:val="28"/>
          <w:szCs w:val="28"/>
          <w:lang w:val="en-US"/>
        </w:rPr>
        <w:t xml:space="preserve"> </w:t>
      </w:r>
      <w:r w:rsidR="00F66302" w:rsidRPr="00F66302">
        <w:rPr>
          <w:rFonts w:eastAsia="仿宋_GB2312"/>
          <w:bCs/>
          <w:sz w:val="28"/>
          <w:szCs w:val="28"/>
          <w:lang w:val="en-US"/>
        </w:rPr>
        <w:t xml:space="preserve">valuation of </w:t>
      </w:r>
      <w:r>
        <w:rPr>
          <w:rFonts w:eastAsia="仿宋_GB2312"/>
          <w:bCs/>
          <w:sz w:val="28"/>
          <w:szCs w:val="28"/>
          <w:lang w:val="en-US"/>
        </w:rPr>
        <w:t xml:space="preserve">RMB </w:t>
      </w:r>
      <w:r w:rsidR="00F66302" w:rsidRPr="00F66302">
        <w:rPr>
          <w:rFonts w:eastAsia="仿宋_GB2312"/>
          <w:bCs/>
          <w:sz w:val="28"/>
          <w:szCs w:val="28"/>
          <w:lang w:val="en-US"/>
        </w:rPr>
        <w:t>2.1 billion</w:t>
      </w:r>
      <w:r>
        <w:rPr>
          <w:rFonts w:eastAsia="仿宋_GB2312"/>
          <w:bCs/>
          <w:sz w:val="28"/>
          <w:szCs w:val="28"/>
          <w:lang w:val="en-US"/>
        </w:rPr>
        <w:t xml:space="preserve">. Due to </w:t>
      </w:r>
      <w:r w:rsidR="00F66302" w:rsidRPr="00F66302">
        <w:rPr>
          <w:rFonts w:eastAsia="仿宋_GB2312"/>
          <w:bCs/>
          <w:sz w:val="28"/>
          <w:szCs w:val="28"/>
          <w:lang w:val="en-US"/>
        </w:rPr>
        <w:t>hi</w:t>
      </w:r>
      <w:r>
        <w:rPr>
          <w:rFonts w:eastAsia="仿宋_GB2312"/>
          <w:bCs/>
          <w:sz w:val="28"/>
          <w:szCs w:val="28"/>
          <w:lang w:val="en-US"/>
        </w:rPr>
        <w:t xml:space="preserve">gh valuation, </w:t>
      </w:r>
      <w:r w:rsidR="0005348D">
        <w:rPr>
          <w:rFonts w:eastAsia="仿宋_GB2312"/>
          <w:bCs/>
          <w:sz w:val="28"/>
          <w:szCs w:val="28"/>
          <w:lang w:val="en-US"/>
        </w:rPr>
        <w:t>no investment was</w:t>
      </w:r>
      <w:r w:rsidR="00F66302" w:rsidRPr="00F66302">
        <w:rPr>
          <w:rFonts w:eastAsia="仿宋_GB2312"/>
          <w:bCs/>
          <w:sz w:val="28"/>
          <w:szCs w:val="28"/>
          <w:lang w:val="en-US"/>
        </w:rPr>
        <w:t xml:space="preserve"> made.</w:t>
      </w:r>
      <w:r w:rsidR="00B06488" w:rsidRPr="009A2AEF">
        <w:rPr>
          <w:rFonts w:eastAsia="仿宋_GB2312" w:hint="eastAsia"/>
          <w:bCs/>
          <w:sz w:val="28"/>
          <w:szCs w:val="28"/>
          <w:lang w:val="en-US"/>
        </w:rPr>
        <w:t xml:space="preserve"> </w:t>
      </w:r>
    </w:p>
    <w:p w14:paraId="7BE90940" w14:textId="5848C4CD" w:rsidR="00F66302" w:rsidRPr="006A7FD4" w:rsidRDefault="00F66302" w:rsidP="009556E2">
      <w:pPr>
        <w:tabs>
          <w:tab w:val="left" w:pos="330"/>
        </w:tabs>
        <w:spacing w:before="220" w:after="220" w:line="360" w:lineRule="auto"/>
        <w:jc w:val="both"/>
        <w:rPr>
          <w:rFonts w:eastAsia="仿宋_GB2312"/>
          <w:b/>
          <w:bCs/>
          <w:sz w:val="28"/>
          <w:szCs w:val="28"/>
          <w:lang w:val="en-US"/>
        </w:rPr>
      </w:pPr>
      <w:r w:rsidRPr="00322795">
        <w:rPr>
          <w:rFonts w:eastAsia="仿宋_GB2312"/>
          <w:b/>
          <w:bCs/>
          <w:sz w:val="28"/>
          <w:szCs w:val="28"/>
          <w:lang w:val="en-US"/>
        </w:rPr>
        <w:t xml:space="preserve">III. Projects </w:t>
      </w:r>
      <w:r w:rsidR="00791E2F">
        <w:rPr>
          <w:rFonts w:eastAsia="仿宋_GB2312"/>
          <w:b/>
          <w:bCs/>
          <w:sz w:val="28"/>
          <w:szCs w:val="28"/>
          <w:lang w:val="en-US"/>
        </w:rPr>
        <w:t>Under Review</w:t>
      </w:r>
    </w:p>
    <w:p w14:paraId="7E814033" w14:textId="5FD8BAFD" w:rsidR="00F66302" w:rsidRDefault="00F66302" w:rsidP="009556E2">
      <w:pPr>
        <w:tabs>
          <w:tab w:val="left" w:pos="330"/>
        </w:tabs>
        <w:spacing w:before="220" w:after="220" w:line="360" w:lineRule="auto"/>
        <w:jc w:val="both"/>
        <w:rPr>
          <w:rFonts w:eastAsia="仿宋_GB2312"/>
          <w:b/>
          <w:bCs/>
          <w:sz w:val="28"/>
          <w:szCs w:val="28"/>
          <w:lang w:val="en-US"/>
        </w:rPr>
      </w:pPr>
      <w:r w:rsidRPr="006A7FD4">
        <w:rPr>
          <w:rFonts w:eastAsia="仿宋_GB2312"/>
          <w:b/>
          <w:bCs/>
          <w:sz w:val="28"/>
          <w:szCs w:val="28"/>
          <w:lang w:val="en-US"/>
        </w:rPr>
        <w:t>ALEPH ELECTRONICS</w:t>
      </w:r>
    </w:p>
    <w:p w14:paraId="443333BC" w14:textId="2BD19D59" w:rsidR="00F66302" w:rsidRDefault="00F66302" w:rsidP="009A2AEF">
      <w:pPr>
        <w:spacing w:line="360" w:lineRule="auto"/>
        <w:jc w:val="both"/>
        <w:rPr>
          <w:rFonts w:eastAsia="仿宋_GB2312"/>
          <w:bCs/>
          <w:sz w:val="28"/>
          <w:szCs w:val="28"/>
          <w:lang w:val="en-US"/>
        </w:rPr>
      </w:pPr>
      <w:r w:rsidRPr="006A7FD4">
        <w:rPr>
          <w:rFonts w:eastAsia="仿宋_GB2312"/>
          <w:bCs/>
          <w:sz w:val="28"/>
          <w:szCs w:val="28"/>
          <w:lang w:val="en-US"/>
        </w:rPr>
        <w:t xml:space="preserve">The </w:t>
      </w:r>
      <w:r w:rsidR="00D22CD8">
        <w:rPr>
          <w:rFonts w:eastAsia="仿宋_GB2312"/>
          <w:bCs/>
          <w:sz w:val="28"/>
          <w:szCs w:val="28"/>
          <w:lang w:val="en-US"/>
        </w:rPr>
        <w:t xml:space="preserve">target company </w:t>
      </w:r>
      <w:r w:rsidRPr="006A7FD4">
        <w:rPr>
          <w:rFonts w:eastAsia="仿宋_GB2312"/>
          <w:bCs/>
          <w:sz w:val="28"/>
          <w:szCs w:val="28"/>
          <w:lang w:val="en-US"/>
        </w:rPr>
        <w:t>is the world's third</w:t>
      </w:r>
      <w:r w:rsidR="00707B67">
        <w:rPr>
          <w:rFonts w:eastAsia="仿宋_GB2312"/>
          <w:bCs/>
          <w:sz w:val="28"/>
          <w:szCs w:val="28"/>
          <w:lang w:val="en-US"/>
        </w:rPr>
        <w:t xml:space="preserve"> </w:t>
      </w:r>
      <w:r w:rsidRPr="006A7FD4">
        <w:rPr>
          <w:rFonts w:eastAsia="仿宋_GB2312"/>
          <w:bCs/>
          <w:sz w:val="28"/>
          <w:szCs w:val="28"/>
          <w:lang w:val="en-US"/>
        </w:rPr>
        <w:t>largest manufacturer of reed sensors</w:t>
      </w:r>
      <w:r w:rsidR="00AF0059">
        <w:rPr>
          <w:rFonts w:eastAsia="仿宋_GB2312"/>
          <w:bCs/>
          <w:sz w:val="28"/>
          <w:szCs w:val="28"/>
          <w:lang w:val="en-US"/>
        </w:rPr>
        <w:t xml:space="preserve"> and light-controlled sensors. Based in Japan, it</w:t>
      </w:r>
      <w:r w:rsidR="00707B67">
        <w:rPr>
          <w:rFonts w:eastAsia="仿宋_GB2312"/>
          <w:bCs/>
          <w:sz w:val="28"/>
          <w:szCs w:val="28"/>
          <w:lang w:val="en-US"/>
        </w:rPr>
        <w:t xml:space="preserve">s products are used in </w:t>
      </w:r>
      <w:r w:rsidRPr="006A7FD4">
        <w:rPr>
          <w:rFonts w:eastAsia="仿宋_GB2312"/>
          <w:bCs/>
          <w:sz w:val="28"/>
          <w:szCs w:val="28"/>
          <w:lang w:val="en-US"/>
        </w:rPr>
        <w:t xml:space="preserve">a wide range of </w:t>
      </w:r>
      <w:r w:rsidR="00707B67">
        <w:rPr>
          <w:rFonts w:eastAsia="仿宋_GB2312"/>
          <w:bCs/>
          <w:sz w:val="28"/>
          <w:szCs w:val="28"/>
          <w:lang w:val="en-US"/>
        </w:rPr>
        <w:t>end markets</w:t>
      </w:r>
      <w:r w:rsidR="00707B67" w:rsidRPr="006A7FD4">
        <w:rPr>
          <w:rFonts w:eastAsia="仿宋_GB2312"/>
          <w:bCs/>
          <w:sz w:val="28"/>
          <w:szCs w:val="28"/>
          <w:lang w:val="en-US"/>
        </w:rPr>
        <w:t xml:space="preserve"> </w:t>
      </w:r>
      <w:r w:rsidRPr="006A7FD4">
        <w:rPr>
          <w:rFonts w:eastAsia="仿宋_GB2312"/>
          <w:bCs/>
          <w:sz w:val="28"/>
          <w:szCs w:val="28"/>
          <w:lang w:val="en-US"/>
        </w:rPr>
        <w:t>including automotive electronics, office supplies, white goods, industrial automation and robotics and medical</w:t>
      </w:r>
      <w:r w:rsidR="00914558">
        <w:rPr>
          <w:rFonts w:eastAsia="仿宋_GB2312"/>
          <w:bCs/>
          <w:sz w:val="28"/>
          <w:szCs w:val="28"/>
          <w:lang w:val="en-US"/>
        </w:rPr>
        <w:t xml:space="preserve"> products</w:t>
      </w:r>
      <w:r w:rsidRPr="006A7FD4">
        <w:rPr>
          <w:rFonts w:eastAsia="仿宋_GB2312"/>
          <w:bCs/>
          <w:sz w:val="28"/>
          <w:szCs w:val="28"/>
          <w:lang w:val="en-US"/>
        </w:rPr>
        <w:t>. In 2017, t</w:t>
      </w:r>
      <w:r w:rsidR="00914558">
        <w:rPr>
          <w:rFonts w:eastAsia="仿宋_GB2312"/>
          <w:bCs/>
          <w:sz w:val="28"/>
          <w:szCs w:val="28"/>
          <w:lang w:val="en-US"/>
        </w:rPr>
        <w:t>he target achieved</w:t>
      </w:r>
      <w:r w:rsidRPr="006A7FD4">
        <w:rPr>
          <w:rFonts w:eastAsia="仿宋_GB2312"/>
          <w:bCs/>
          <w:sz w:val="28"/>
          <w:szCs w:val="28"/>
          <w:lang w:val="en-US"/>
        </w:rPr>
        <w:t xml:space="preserve"> revenue </w:t>
      </w:r>
      <w:r w:rsidR="00914558">
        <w:rPr>
          <w:rFonts w:eastAsia="仿宋_GB2312"/>
          <w:bCs/>
          <w:sz w:val="28"/>
          <w:szCs w:val="28"/>
          <w:lang w:val="en-US"/>
        </w:rPr>
        <w:t>of</w:t>
      </w:r>
      <w:r w:rsidR="00914558" w:rsidRPr="006A7FD4">
        <w:rPr>
          <w:rFonts w:eastAsia="仿宋_GB2312"/>
          <w:bCs/>
          <w:sz w:val="28"/>
          <w:szCs w:val="28"/>
          <w:lang w:val="en-US"/>
        </w:rPr>
        <w:t xml:space="preserve"> </w:t>
      </w:r>
      <w:r w:rsidR="000D54EB">
        <w:rPr>
          <w:rFonts w:eastAsia="仿宋_GB2312"/>
          <w:bCs/>
          <w:sz w:val="28"/>
          <w:szCs w:val="28"/>
          <w:lang w:val="en-US"/>
        </w:rPr>
        <w:t xml:space="preserve">RMB </w:t>
      </w:r>
      <w:r w:rsidRPr="006A7FD4">
        <w:rPr>
          <w:rFonts w:eastAsia="仿宋_GB2312"/>
          <w:bCs/>
          <w:sz w:val="28"/>
          <w:szCs w:val="28"/>
          <w:lang w:val="en-US"/>
        </w:rPr>
        <w:t xml:space="preserve">700 million and net profit </w:t>
      </w:r>
      <w:r w:rsidR="00914558">
        <w:rPr>
          <w:rFonts w:eastAsia="仿宋_GB2312"/>
          <w:bCs/>
          <w:sz w:val="28"/>
          <w:szCs w:val="28"/>
          <w:lang w:val="en-US"/>
        </w:rPr>
        <w:t>of</w:t>
      </w:r>
      <w:r w:rsidR="00914558" w:rsidRPr="006A7FD4">
        <w:rPr>
          <w:rFonts w:eastAsia="仿宋_GB2312"/>
          <w:bCs/>
          <w:sz w:val="28"/>
          <w:szCs w:val="28"/>
          <w:lang w:val="en-US"/>
        </w:rPr>
        <w:t xml:space="preserve"> </w:t>
      </w:r>
      <w:r w:rsidR="000D54EB">
        <w:rPr>
          <w:rFonts w:eastAsia="仿宋_GB2312"/>
          <w:bCs/>
          <w:sz w:val="28"/>
          <w:szCs w:val="28"/>
          <w:lang w:val="en-US"/>
        </w:rPr>
        <w:t xml:space="preserve">RMB </w:t>
      </w:r>
      <w:r w:rsidRPr="006A7FD4">
        <w:rPr>
          <w:rFonts w:eastAsia="仿宋_GB2312"/>
          <w:bCs/>
          <w:sz w:val="28"/>
          <w:szCs w:val="28"/>
          <w:lang w:val="en-US"/>
        </w:rPr>
        <w:t xml:space="preserve">100 million. </w:t>
      </w:r>
      <w:r w:rsidR="00914558">
        <w:rPr>
          <w:rFonts w:eastAsia="仿宋_GB2312"/>
          <w:bCs/>
          <w:sz w:val="28"/>
          <w:szCs w:val="28"/>
          <w:lang w:val="en-US"/>
        </w:rPr>
        <w:t xml:space="preserve">The target company was acquired by a Chinese entity, </w:t>
      </w:r>
      <w:proofErr w:type="spellStart"/>
      <w:r w:rsidR="00914558">
        <w:rPr>
          <w:rFonts w:eastAsia="仿宋_GB2312"/>
          <w:bCs/>
          <w:sz w:val="28"/>
          <w:szCs w:val="28"/>
          <w:lang w:val="en-US"/>
        </w:rPr>
        <w:t>Yinyi</w:t>
      </w:r>
      <w:proofErr w:type="spellEnd"/>
      <w:r w:rsidR="00914558">
        <w:rPr>
          <w:rFonts w:eastAsia="仿宋_GB2312"/>
          <w:bCs/>
          <w:sz w:val="28"/>
          <w:szCs w:val="28"/>
          <w:lang w:val="en-US"/>
        </w:rPr>
        <w:t xml:space="preserve"> Group, i</w:t>
      </w:r>
      <w:r w:rsidRPr="006A7FD4">
        <w:rPr>
          <w:rFonts w:eastAsia="仿宋_GB2312"/>
          <w:bCs/>
          <w:sz w:val="28"/>
          <w:szCs w:val="28"/>
          <w:lang w:val="en-US"/>
        </w:rPr>
        <w:t xml:space="preserve">n 2016, </w:t>
      </w:r>
      <w:r w:rsidR="00914558">
        <w:rPr>
          <w:rFonts w:eastAsia="仿宋_GB2312"/>
          <w:bCs/>
          <w:sz w:val="28"/>
          <w:szCs w:val="28"/>
          <w:lang w:val="en-US"/>
        </w:rPr>
        <w:t>with a combination of equity and a large portion of debt</w:t>
      </w:r>
      <w:r w:rsidR="00AF0059">
        <w:rPr>
          <w:rFonts w:eastAsia="仿宋_GB2312"/>
          <w:bCs/>
          <w:sz w:val="28"/>
          <w:szCs w:val="28"/>
          <w:lang w:val="en-US"/>
        </w:rPr>
        <w:t xml:space="preserve">. </w:t>
      </w:r>
      <w:r w:rsidR="00305BFF">
        <w:rPr>
          <w:rFonts w:eastAsia="仿宋_GB2312"/>
          <w:bCs/>
          <w:sz w:val="28"/>
          <w:szCs w:val="28"/>
          <w:lang w:val="en-US"/>
        </w:rPr>
        <w:t xml:space="preserve"> </w:t>
      </w:r>
      <w:proofErr w:type="spellStart"/>
      <w:r w:rsidR="00914558">
        <w:rPr>
          <w:rFonts w:eastAsia="仿宋_GB2312"/>
          <w:bCs/>
          <w:sz w:val="28"/>
          <w:szCs w:val="28"/>
          <w:lang w:val="en-US"/>
        </w:rPr>
        <w:t>Yinyi</w:t>
      </w:r>
      <w:proofErr w:type="spellEnd"/>
      <w:r w:rsidR="00914558">
        <w:rPr>
          <w:rFonts w:eastAsia="仿宋_GB2312"/>
          <w:bCs/>
          <w:sz w:val="28"/>
          <w:szCs w:val="28"/>
          <w:lang w:val="en-US"/>
        </w:rPr>
        <w:t xml:space="preserve"> Group</w:t>
      </w:r>
      <w:r w:rsidR="00002A60">
        <w:rPr>
          <w:rFonts w:eastAsia="仿宋_GB2312"/>
          <w:bCs/>
          <w:sz w:val="28"/>
          <w:szCs w:val="28"/>
          <w:lang w:val="en-US"/>
        </w:rPr>
        <w:t>, currently facing liquidity issues and maturing bank liabilities, has offered to sell the target company at a discount</w:t>
      </w:r>
      <w:r w:rsidR="00AF0059">
        <w:rPr>
          <w:rFonts w:eastAsia="仿宋_GB2312"/>
          <w:bCs/>
          <w:sz w:val="28"/>
          <w:szCs w:val="28"/>
          <w:lang w:val="en-US"/>
        </w:rPr>
        <w:t xml:space="preserve">. </w:t>
      </w:r>
      <w:r w:rsidR="00002A60">
        <w:rPr>
          <w:rFonts w:eastAsia="仿宋_GB2312"/>
          <w:bCs/>
          <w:sz w:val="28"/>
          <w:szCs w:val="28"/>
          <w:lang w:val="en-US"/>
        </w:rPr>
        <w:t xml:space="preserve">The Company’s assessment is that the target company has </w:t>
      </w:r>
      <w:r w:rsidR="00002A60">
        <w:rPr>
          <w:rFonts w:eastAsia="仿宋_GB2312"/>
          <w:bCs/>
          <w:sz w:val="28"/>
          <w:szCs w:val="28"/>
          <w:lang w:val="en-US"/>
        </w:rPr>
        <w:lastRenderedPageBreak/>
        <w:t>valuable</w:t>
      </w:r>
      <w:r w:rsidRPr="006A7FD4">
        <w:rPr>
          <w:rFonts w:eastAsia="仿宋_GB2312"/>
          <w:bCs/>
          <w:sz w:val="28"/>
          <w:szCs w:val="28"/>
          <w:lang w:val="en-US"/>
        </w:rPr>
        <w:t xml:space="preserve"> </w:t>
      </w:r>
      <w:r w:rsidR="00002A60">
        <w:rPr>
          <w:rFonts w:eastAsia="仿宋_GB2312"/>
          <w:bCs/>
          <w:sz w:val="28"/>
          <w:szCs w:val="28"/>
          <w:lang w:val="en-US"/>
        </w:rPr>
        <w:t>technology with diverse applications and</w:t>
      </w:r>
      <w:r w:rsidRPr="006A7FD4">
        <w:rPr>
          <w:rFonts w:eastAsia="仿宋_GB2312"/>
          <w:bCs/>
          <w:sz w:val="28"/>
          <w:szCs w:val="28"/>
          <w:lang w:val="en-US"/>
        </w:rPr>
        <w:t xml:space="preserve"> </w:t>
      </w:r>
      <w:r w:rsidR="00002A60">
        <w:rPr>
          <w:rFonts w:eastAsia="仿宋_GB2312"/>
          <w:bCs/>
          <w:sz w:val="28"/>
          <w:szCs w:val="28"/>
          <w:lang w:val="en-US"/>
        </w:rPr>
        <w:t>has teamed up with</w:t>
      </w:r>
      <w:r w:rsidRPr="006A7FD4">
        <w:rPr>
          <w:rFonts w:eastAsia="仿宋_GB2312"/>
          <w:bCs/>
          <w:sz w:val="28"/>
          <w:szCs w:val="28"/>
          <w:lang w:val="en-US"/>
        </w:rPr>
        <w:t xml:space="preserve"> CRRC </w:t>
      </w:r>
      <w:r w:rsidR="00AF0059">
        <w:rPr>
          <w:rFonts w:eastAsia="仿宋_GB2312"/>
          <w:bCs/>
          <w:sz w:val="28"/>
          <w:szCs w:val="28"/>
          <w:lang w:val="en-US"/>
        </w:rPr>
        <w:t xml:space="preserve">Times </w:t>
      </w:r>
      <w:r w:rsidRPr="006A7FD4">
        <w:rPr>
          <w:rFonts w:eastAsia="仿宋_GB2312"/>
          <w:bCs/>
          <w:sz w:val="28"/>
          <w:szCs w:val="28"/>
          <w:lang w:val="en-US"/>
        </w:rPr>
        <w:t>Electric</w:t>
      </w:r>
      <w:r w:rsidR="00AF0059">
        <w:rPr>
          <w:rFonts w:eastAsia="仿宋_GB2312"/>
          <w:bCs/>
          <w:sz w:val="28"/>
          <w:szCs w:val="28"/>
          <w:lang w:val="en-US"/>
        </w:rPr>
        <w:t xml:space="preserve"> Limited to participate in the bid process. </w:t>
      </w:r>
      <w:r w:rsidR="00D25626">
        <w:rPr>
          <w:rFonts w:eastAsia="仿宋_GB2312"/>
          <w:bCs/>
          <w:sz w:val="28"/>
          <w:szCs w:val="28"/>
          <w:lang w:val="en-US"/>
        </w:rPr>
        <w:t xml:space="preserve"> We are however concerned about the lengthy </w:t>
      </w:r>
      <w:r w:rsidR="00AF0059">
        <w:rPr>
          <w:rFonts w:eastAsia="仿宋_GB2312"/>
          <w:bCs/>
          <w:sz w:val="28"/>
          <w:szCs w:val="28"/>
          <w:lang w:val="en-US"/>
        </w:rPr>
        <w:t>decision-making process within CRRC</w:t>
      </w:r>
      <w:r w:rsidRPr="006A7FD4">
        <w:rPr>
          <w:rFonts w:eastAsia="仿宋_GB2312"/>
          <w:bCs/>
          <w:sz w:val="28"/>
          <w:szCs w:val="28"/>
          <w:lang w:val="en-US"/>
        </w:rPr>
        <w:t>.</w:t>
      </w:r>
    </w:p>
    <w:p w14:paraId="2D11FFD4" w14:textId="400F5A0C" w:rsidR="00F66302" w:rsidRPr="00F66302" w:rsidRDefault="00F66302" w:rsidP="009556E2">
      <w:pPr>
        <w:tabs>
          <w:tab w:val="left" w:pos="330"/>
        </w:tabs>
        <w:spacing w:before="220" w:after="220" w:line="360" w:lineRule="auto"/>
        <w:jc w:val="both"/>
        <w:rPr>
          <w:rFonts w:eastAsia="仿宋_GB2312"/>
          <w:b/>
          <w:bCs/>
          <w:sz w:val="28"/>
          <w:szCs w:val="28"/>
          <w:lang w:val="en-US"/>
        </w:rPr>
      </w:pPr>
      <w:r w:rsidRPr="006A7FD4">
        <w:rPr>
          <w:rFonts w:eastAsia="仿宋_GB2312"/>
          <w:b/>
          <w:bCs/>
          <w:sz w:val="28"/>
          <w:szCs w:val="28"/>
          <w:lang w:val="en-US"/>
        </w:rPr>
        <w:t>CZB</w:t>
      </w:r>
    </w:p>
    <w:p w14:paraId="145B4712" w14:textId="7D474D28" w:rsidR="00F66302" w:rsidRPr="006A7FD4" w:rsidRDefault="00C40EA5" w:rsidP="009A2AEF">
      <w:pPr>
        <w:spacing w:line="360" w:lineRule="auto"/>
        <w:jc w:val="both"/>
        <w:rPr>
          <w:rFonts w:eastAsia="仿宋_GB2312"/>
          <w:bCs/>
          <w:sz w:val="28"/>
          <w:szCs w:val="28"/>
          <w:lang w:val="en-US"/>
        </w:rPr>
      </w:pPr>
      <w:r>
        <w:rPr>
          <w:rFonts w:eastAsia="仿宋_GB2312"/>
          <w:bCs/>
          <w:sz w:val="28"/>
          <w:szCs w:val="28"/>
          <w:lang w:val="en-US"/>
        </w:rPr>
        <w:t xml:space="preserve">The target company is </w:t>
      </w:r>
      <w:r w:rsidR="003D7DF2" w:rsidRPr="006A7FD4">
        <w:rPr>
          <w:rFonts w:eastAsia="仿宋_GB2312"/>
          <w:bCs/>
          <w:sz w:val="28"/>
          <w:szCs w:val="28"/>
          <w:lang w:val="en-US"/>
        </w:rPr>
        <w:t xml:space="preserve">China's largest </w:t>
      </w:r>
      <w:r w:rsidR="00230F75" w:rsidRPr="00595061">
        <w:rPr>
          <w:rFonts w:eastAsia="仿宋_GB2312"/>
          <w:bCs/>
          <w:sz w:val="28"/>
          <w:szCs w:val="28"/>
          <w:lang w:val="en-US"/>
        </w:rPr>
        <w:t>online</w:t>
      </w:r>
      <w:r w:rsidR="00230F75">
        <w:rPr>
          <w:rFonts w:eastAsia="仿宋_GB2312"/>
          <w:bCs/>
          <w:sz w:val="28"/>
          <w:szCs w:val="28"/>
          <w:lang w:val="en-US"/>
        </w:rPr>
        <w:t xml:space="preserve"> </w:t>
      </w:r>
      <w:r w:rsidR="003D7DF2" w:rsidRPr="006A7FD4">
        <w:rPr>
          <w:rFonts w:eastAsia="仿宋_GB2312"/>
          <w:bCs/>
          <w:sz w:val="28"/>
          <w:szCs w:val="28"/>
          <w:lang w:val="en-US"/>
        </w:rPr>
        <w:t>commercial vehicle energy platform</w:t>
      </w:r>
      <w:r>
        <w:rPr>
          <w:rFonts w:eastAsia="仿宋_GB2312"/>
          <w:bCs/>
          <w:sz w:val="28"/>
          <w:szCs w:val="28"/>
          <w:lang w:val="en-US"/>
        </w:rPr>
        <w:t xml:space="preserve"> that</w:t>
      </w:r>
      <w:r w:rsidR="003D7DF2" w:rsidRPr="006A7FD4">
        <w:rPr>
          <w:rFonts w:eastAsia="仿宋_GB2312"/>
          <w:bCs/>
          <w:sz w:val="28"/>
          <w:szCs w:val="28"/>
          <w:lang w:val="en-US"/>
        </w:rPr>
        <w:t xml:space="preserve"> provides commercial vehi</w:t>
      </w:r>
      <w:r w:rsidR="000315B2">
        <w:rPr>
          <w:rFonts w:eastAsia="仿宋_GB2312"/>
          <w:bCs/>
          <w:sz w:val="28"/>
          <w:szCs w:val="28"/>
          <w:lang w:val="en-US"/>
        </w:rPr>
        <w:t xml:space="preserve">cle owners with LBS oil stations’ </w:t>
      </w:r>
      <w:r w:rsidR="003D7DF2" w:rsidRPr="006A7FD4">
        <w:rPr>
          <w:rFonts w:eastAsia="仿宋_GB2312"/>
          <w:bCs/>
          <w:sz w:val="28"/>
          <w:szCs w:val="28"/>
          <w:lang w:val="en-US"/>
        </w:rPr>
        <w:t xml:space="preserve">price comparison and route planning, preferential fueling prices, and SaaS management system for petrol stations/charging piles. At present, there are </w:t>
      </w:r>
      <w:r w:rsidR="00674B3F" w:rsidRPr="006A7FD4">
        <w:rPr>
          <w:rFonts w:eastAsia="仿宋_GB2312"/>
          <w:bCs/>
          <w:sz w:val="28"/>
          <w:szCs w:val="28"/>
          <w:lang w:val="en-US"/>
        </w:rPr>
        <w:t xml:space="preserve">more than 4,000 </w:t>
      </w:r>
      <w:r w:rsidR="00674B3F">
        <w:rPr>
          <w:rFonts w:eastAsia="仿宋_GB2312"/>
          <w:bCs/>
          <w:sz w:val="28"/>
          <w:szCs w:val="28"/>
          <w:lang w:val="en-US"/>
        </w:rPr>
        <w:t>c</w:t>
      </w:r>
      <w:r w:rsidR="00674B3F" w:rsidRPr="00674B3F">
        <w:rPr>
          <w:rFonts w:eastAsia="仿宋_GB2312"/>
          <w:bCs/>
          <w:sz w:val="28"/>
          <w:szCs w:val="28"/>
          <w:lang w:val="en-US"/>
        </w:rPr>
        <w:t>ontracted</w:t>
      </w:r>
      <w:r w:rsidR="00674B3F">
        <w:rPr>
          <w:rFonts w:eastAsia="仿宋_GB2312"/>
          <w:bCs/>
          <w:sz w:val="28"/>
          <w:szCs w:val="28"/>
          <w:lang w:val="en-US"/>
        </w:rPr>
        <w:t xml:space="preserve"> </w:t>
      </w:r>
      <w:r w:rsidR="00674B3F" w:rsidRPr="006A7FD4">
        <w:rPr>
          <w:rFonts w:eastAsia="仿宋_GB2312"/>
          <w:bCs/>
          <w:sz w:val="28"/>
          <w:szCs w:val="28"/>
          <w:lang w:val="en-US"/>
        </w:rPr>
        <w:t>gas stations</w:t>
      </w:r>
      <w:r w:rsidR="00674B3F">
        <w:rPr>
          <w:rFonts w:eastAsia="仿宋_GB2312"/>
          <w:bCs/>
          <w:sz w:val="28"/>
          <w:szCs w:val="28"/>
          <w:lang w:val="en-US"/>
        </w:rPr>
        <w:t>,</w:t>
      </w:r>
      <w:r w:rsidR="00674B3F" w:rsidRPr="006A7FD4">
        <w:rPr>
          <w:rFonts w:eastAsia="仿宋_GB2312"/>
          <w:bCs/>
          <w:sz w:val="28"/>
          <w:szCs w:val="28"/>
          <w:lang w:val="en-US"/>
        </w:rPr>
        <w:t xml:space="preserve"> </w:t>
      </w:r>
      <w:r w:rsidR="00C409FB">
        <w:rPr>
          <w:rFonts w:eastAsia="仿宋_GB2312"/>
          <w:bCs/>
          <w:sz w:val="28"/>
          <w:szCs w:val="28"/>
          <w:lang w:val="en-US"/>
        </w:rPr>
        <w:t xml:space="preserve">with </w:t>
      </w:r>
      <w:r w:rsidR="00674B3F" w:rsidRPr="006A7FD4">
        <w:rPr>
          <w:rFonts w:eastAsia="仿宋_GB2312"/>
          <w:bCs/>
          <w:sz w:val="28"/>
          <w:szCs w:val="28"/>
          <w:lang w:val="en-US"/>
        </w:rPr>
        <w:t>nearly 1,000 gas stations</w:t>
      </w:r>
      <w:r w:rsidR="00C409FB">
        <w:rPr>
          <w:rFonts w:eastAsia="仿宋_GB2312"/>
          <w:bCs/>
          <w:sz w:val="28"/>
          <w:szCs w:val="28"/>
          <w:lang w:val="en-US"/>
        </w:rPr>
        <w:t xml:space="preserve"> active</w:t>
      </w:r>
      <w:r w:rsidR="00674B3F" w:rsidRPr="006A7FD4">
        <w:rPr>
          <w:rFonts w:eastAsia="仿宋_GB2312"/>
          <w:bCs/>
          <w:sz w:val="28"/>
          <w:szCs w:val="28"/>
          <w:lang w:val="en-US"/>
        </w:rPr>
        <w:t xml:space="preserve"> online,</w:t>
      </w:r>
      <w:r w:rsidR="00674B3F">
        <w:rPr>
          <w:rFonts w:eastAsia="仿宋_GB2312"/>
          <w:bCs/>
          <w:sz w:val="28"/>
          <w:szCs w:val="28"/>
          <w:lang w:val="en-US"/>
        </w:rPr>
        <w:t xml:space="preserve"> </w:t>
      </w:r>
      <w:r w:rsidR="00674B3F" w:rsidRPr="006A7FD4">
        <w:rPr>
          <w:rFonts w:eastAsia="仿宋_GB2312"/>
          <w:bCs/>
          <w:sz w:val="28"/>
          <w:szCs w:val="28"/>
          <w:lang w:val="en-US"/>
        </w:rPr>
        <w:t>50,000 online charging piles</w:t>
      </w:r>
      <w:r w:rsidR="00674B3F">
        <w:rPr>
          <w:rFonts w:eastAsia="仿宋_GB2312"/>
          <w:bCs/>
          <w:sz w:val="28"/>
          <w:szCs w:val="28"/>
          <w:lang w:val="en-US"/>
        </w:rPr>
        <w:t xml:space="preserve"> in 69 cities,</w:t>
      </w:r>
      <w:r w:rsidR="00674B3F" w:rsidRPr="006A7FD4">
        <w:rPr>
          <w:rFonts w:eastAsia="仿宋_GB2312"/>
          <w:bCs/>
          <w:sz w:val="28"/>
          <w:szCs w:val="28"/>
          <w:lang w:val="en-US"/>
        </w:rPr>
        <w:t xml:space="preserve"> </w:t>
      </w:r>
      <w:r w:rsidR="00674B3F">
        <w:rPr>
          <w:rFonts w:eastAsia="仿宋_GB2312"/>
          <w:bCs/>
          <w:sz w:val="28"/>
          <w:szCs w:val="28"/>
          <w:lang w:val="en-US"/>
        </w:rPr>
        <w:t xml:space="preserve">and </w:t>
      </w:r>
      <w:r w:rsidR="003D7DF2" w:rsidRPr="006A7FD4">
        <w:rPr>
          <w:rFonts w:eastAsia="仿宋_GB2312"/>
          <w:bCs/>
          <w:sz w:val="28"/>
          <w:szCs w:val="28"/>
          <w:lang w:val="en-US"/>
        </w:rPr>
        <w:t xml:space="preserve">nearly 600,000 monthly </w:t>
      </w:r>
      <w:r w:rsidR="00230F75">
        <w:rPr>
          <w:rFonts w:eastAsia="仿宋_GB2312"/>
          <w:bCs/>
          <w:sz w:val="28"/>
          <w:szCs w:val="28"/>
          <w:lang w:val="en-US"/>
        </w:rPr>
        <w:t>active</w:t>
      </w:r>
      <w:r w:rsidR="00230F75" w:rsidRPr="006A7FD4">
        <w:rPr>
          <w:rFonts w:eastAsia="仿宋_GB2312"/>
          <w:bCs/>
          <w:sz w:val="28"/>
          <w:szCs w:val="28"/>
          <w:lang w:val="en-US"/>
        </w:rPr>
        <w:t xml:space="preserve"> </w:t>
      </w:r>
      <w:r w:rsidR="003D7DF2" w:rsidRPr="006A7FD4">
        <w:rPr>
          <w:rFonts w:eastAsia="仿宋_GB2312"/>
          <w:bCs/>
          <w:sz w:val="28"/>
          <w:szCs w:val="28"/>
          <w:lang w:val="en-US"/>
        </w:rPr>
        <w:t>drivers</w:t>
      </w:r>
      <w:r w:rsidR="00674B3F">
        <w:rPr>
          <w:rFonts w:eastAsia="仿宋_GB2312"/>
          <w:bCs/>
          <w:sz w:val="28"/>
          <w:szCs w:val="28"/>
          <w:lang w:val="en-US"/>
        </w:rPr>
        <w:t xml:space="preserve">. </w:t>
      </w:r>
      <w:r w:rsidR="003D7DF2" w:rsidRPr="006A7FD4">
        <w:rPr>
          <w:rFonts w:eastAsia="仿宋_GB2312"/>
          <w:bCs/>
          <w:sz w:val="28"/>
          <w:szCs w:val="28"/>
          <w:lang w:val="en-US"/>
        </w:rPr>
        <w:t xml:space="preserve">The monthly trading volume of the platform is nearly </w:t>
      </w:r>
      <w:r>
        <w:rPr>
          <w:rFonts w:eastAsia="仿宋_GB2312"/>
          <w:bCs/>
          <w:sz w:val="28"/>
          <w:szCs w:val="28"/>
          <w:lang w:val="en-US"/>
        </w:rPr>
        <w:t xml:space="preserve">RMB </w:t>
      </w:r>
      <w:r w:rsidR="003D7DF2" w:rsidRPr="006A7FD4">
        <w:rPr>
          <w:rFonts w:eastAsia="仿宋_GB2312"/>
          <w:bCs/>
          <w:sz w:val="28"/>
          <w:szCs w:val="28"/>
          <w:lang w:val="en-US"/>
        </w:rPr>
        <w:t>300 million</w:t>
      </w:r>
      <w:r w:rsidR="00230F75">
        <w:rPr>
          <w:rFonts w:eastAsia="仿宋_GB2312"/>
          <w:bCs/>
          <w:sz w:val="28"/>
          <w:szCs w:val="28"/>
          <w:lang w:val="en-US"/>
        </w:rPr>
        <w:t xml:space="preserve"> with over</w:t>
      </w:r>
      <w:r>
        <w:rPr>
          <w:rFonts w:eastAsia="仿宋_GB2312"/>
          <w:bCs/>
          <w:sz w:val="28"/>
          <w:szCs w:val="28"/>
          <w:lang w:val="en-US"/>
        </w:rPr>
        <w:t xml:space="preserve"> 1.2 million </w:t>
      </w:r>
      <w:r w:rsidR="00230F75">
        <w:rPr>
          <w:rFonts w:eastAsia="仿宋_GB2312"/>
          <w:bCs/>
          <w:sz w:val="28"/>
          <w:szCs w:val="28"/>
          <w:lang w:val="en-US"/>
        </w:rPr>
        <w:t>orders</w:t>
      </w:r>
      <w:r w:rsidR="003D7DF2" w:rsidRPr="006A7FD4">
        <w:rPr>
          <w:rFonts w:eastAsia="仿宋_GB2312"/>
          <w:bCs/>
          <w:sz w:val="28"/>
          <w:szCs w:val="28"/>
          <w:lang w:val="en-US"/>
        </w:rPr>
        <w:t>.</w:t>
      </w:r>
      <w:r w:rsidR="00674B3F">
        <w:rPr>
          <w:rFonts w:eastAsia="仿宋_GB2312"/>
          <w:bCs/>
          <w:sz w:val="28"/>
          <w:szCs w:val="28"/>
          <w:lang w:val="en-US"/>
        </w:rPr>
        <w:t xml:space="preserve"> </w:t>
      </w:r>
      <w:r w:rsidR="00565D50">
        <w:rPr>
          <w:rFonts w:eastAsia="仿宋_GB2312"/>
          <w:bCs/>
          <w:sz w:val="28"/>
          <w:szCs w:val="28"/>
          <w:lang w:val="en-US"/>
        </w:rPr>
        <w:t>I</w:t>
      </w:r>
      <w:r w:rsidR="000315B2">
        <w:rPr>
          <w:rFonts w:eastAsia="仿宋_GB2312"/>
          <w:bCs/>
          <w:sz w:val="28"/>
          <w:szCs w:val="28"/>
          <w:lang w:val="en-US"/>
        </w:rPr>
        <w:t xml:space="preserve">ndicators </w:t>
      </w:r>
      <w:r w:rsidR="00565D50">
        <w:rPr>
          <w:rFonts w:eastAsia="仿宋_GB2312"/>
          <w:bCs/>
          <w:sz w:val="28"/>
          <w:szCs w:val="28"/>
          <w:lang w:val="en-US"/>
        </w:rPr>
        <w:t xml:space="preserve">show that the target company is currently </w:t>
      </w:r>
      <w:r w:rsidR="000315B2">
        <w:rPr>
          <w:rFonts w:eastAsia="仿宋_GB2312"/>
          <w:bCs/>
          <w:sz w:val="28"/>
          <w:szCs w:val="28"/>
          <w:lang w:val="en-US"/>
        </w:rPr>
        <w:t xml:space="preserve">the </w:t>
      </w:r>
      <w:r w:rsidR="00565D50">
        <w:rPr>
          <w:rFonts w:eastAsia="仿宋_GB2312"/>
          <w:bCs/>
          <w:sz w:val="28"/>
          <w:szCs w:val="28"/>
          <w:lang w:val="en-US"/>
        </w:rPr>
        <w:t>leading player</w:t>
      </w:r>
      <w:r w:rsidR="003D7DF2" w:rsidRPr="006A7FD4">
        <w:rPr>
          <w:rFonts w:eastAsia="仿宋_GB2312"/>
          <w:bCs/>
          <w:sz w:val="28"/>
          <w:szCs w:val="28"/>
          <w:lang w:val="en-US"/>
        </w:rPr>
        <w:t xml:space="preserve"> in the industry and </w:t>
      </w:r>
      <w:r w:rsidR="00565D50">
        <w:rPr>
          <w:rFonts w:eastAsia="仿宋_GB2312"/>
          <w:bCs/>
          <w:sz w:val="28"/>
          <w:szCs w:val="28"/>
          <w:lang w:val="en-US"/>
        </w:rPr>
        <w:t>well positioned for further</w:t>
      </w:r>
      <w:r w:rsidR="003D7DF2" w:rsidRPr="006A7FD4">
        <w:rPr>
          <w:rFonts w:eastAsia="仿宋_GB2312"/>
          <w:bCs/>
          <w:sz w:val="28"/>
          <w:szCs w:val="28"/>
          <w:lang w:val="en-US"/>
        </w:rPr>
        <w:t xml:space="preserve"> growth. </w:t>
      </w:r>
      <w:r w:rsidR="00565D50">
        <w:rPr>
          <w:rFonts w:eastAsia="仿宋_GB2312"/>
          <w:bCs/>
          <w:sz w:val="28"/>
          <w:szCs w:val="28"/>
          <w:lang w:val="en-US"/>
        </w:rPr>
        <w:t xml:space="preserve"> The target has</w:t>
      </w:r>
      <w:r w:rsidR="00565D50" w:rsidRPr="006A7FD4">
        <w:rPr>
          <w:rFonts w:eastAsia="仿宋_GB2312"/>
          <w:bCs/>
          <w:sz w:val="28"/>
          <w:szCs w:val="28"/>
          <w:lang w:val="en-US"/>
        </w:rPr>
        <w:t xml:space="preserve"> </w:t>
      </w:r>
      <w:r w:rsidR="00565D50">
        <w:rPr>
          <w:rFonts w:eastAsia="仿宋_GB2312"/>
          <w:bCs/>
          <w:sz w:val="28"/>
          <w:szCs w:val="28"/>
          <w:lang w:val="en-US"/>
        </w:rPr>
        <w:t xml:space="preserve">already </w:t>
      </w:r>
      <w:r w:rsidR="00565D50" w:rsidRPr="006A7FD4">
        <w:rPr>
          <w:rFonts w:eastAsia="仿宋_GB2312"/>
          <w:bCs/>
          <w:sz w:val="28"/>
          <w:szCs w:val="28"/>
          <w:lang w:val="en-US"/>
        </w:rPr>
        <w:t>carr</w:t>
      </w:r>
      <w:r w:rsidR="00565D50">
        <w:rPr>
          <w:rFonts w:eastAsia="仿宋_GB2312"/>
          <w:bCs/>
          <w:sz w:val="28"/>
          <w:szCs w:val="28"/>
          <w:lang w:val="en-US"/>
        </w:rPr>
        <w:t>ied</w:t>
      </w:r>
      <w:r w:rsidR="00565D50" w:rsidRPr="006A7FD4">
        <w:rPr>
          <w:rFonts w:eastAsia="仿宋_GB2312"/>
          <w:bCs/>
          <w:sz w:val="28"/>
          <w:szCs w:val="28"/>
          <w:lang w:val="en-US"/>
        </w:rPr>
        <w:t xml:space="preserve"> </w:t>
      </w:r>
      <w:r w:rsidR="003D7DF2" w:rsidRPr="006A7FD4">
        <w:rPr>
          <w:rFonts w:eastAsia="仿宋_GB2312"/>
          <w:bCs/>
          <w:sz w:val="28"/>
          <w:szCs w:val="28"/>
          <w:lang w:val="en-US"/>
        </w:rPr>
        <w:t>out two rounds of financing in 2017 and 2018</w:t>
      </w:r>
      <w:r w:rsidR="00565D50">
        <w:rPr>
          <w:rFonts w:eastAsia="仿宋_GB2312"/>
          <w:bCs/>
          <w:sz w:val="28"/>
          <w:szCs w:val="28"/>
          <w:lang w:val="en-US"/>
        </w:rPr>
        <w:t>, with</w:t>
      </w:r>
      <w:r w:rsidR="00565D50" w:rsidRPr="006A7FD4">
        <w:rPr>
          <w:rFonts w:eastAsia="仿宋_GB2312"/>
          <w:bCs/>
          <w:sz w:val="28"/>
          <w:szCs w:val="28"/>
          <w:lang w:val="en-US"/>
        </w:rPr>
        <w:t xml:space="preserve"> </w:t>
      </w:r>
      <w:r w:rsidR="00565D50">
        <w:rPr>
          <w:rFonts w:eastAsia="仿宋_GB2312"/>
          <w:bCs/>
          <w:sz w:val="28"/>
          <w:szCs w:val="28"/>
          <w:lang w:val="en-US"/>
        </w:rPr>
        <w:t>t</w:t>
      </w:r>
      <w:r w:rsidR="00565D50" w:rsidRPr="006A7FD4">
        <w:rPr>
          <w:rFonts w:eastAsia="仿宋_GB2312"/>
          <w:bCs/>
          <w:sz w:val="28"/>
          <w:szCs w:val="28"/>
          <w:lang w:val="en-US"/>
        </w:rPr>
        <w:t xml:space="preserve">he </w:t>
      </w:r>
      <w:r w:rsidR="003D7DF2" w:rsidRPr="006A7FD4">
        <w:rPr>
          <w:rFonts w:eastAsia="仿宋_GB2312"/>
          <w:bCs/>
          <w:sz w:val="28"/>
          <w:szCs w:val="28"/>
          <w:lang w:val="en-US"/>
        </w:rPr>
        <w:t xml:space="preserve">current </w:t>
      </w:r>
      <w:r w:rsidR="000315B2">
        <w:rPr>
          <w:rFonts w:eastAsia="仿宋_GB2312"/>
          <w:bCs/>
          <w:sz w:val="28"/>
          <w:szCs w:val="28"/>
          <w:lang w:val="en-US"/>
        </w:rPr>
        <w:t>Series C r</w:t>
      </w:r>
      <w:r w:rsidR="003D7DF2" w:rsidRPr="006A7FD4">
        <w:rPr>
          <w:rFonts w:eastAsia="仿宋_GB2312"/>
          <w:bCs/>
          <w:sz w:val="28"/>
          <w:szCs w:val="28"/>
          <w:lang w:val="en-US"/>
        </w:rPr>
        <w:t xml:space="preserve">ound </w:t>
      </w:r>
      <w:r w:rsidR="00565D50" w:rsidRPr="006A7FD4">
        <w:rPr>
          <w:rFonts w:eastAsia="仿宋_GB2312"/>
          <w:bCs/>
          <w:sz w:val="28"/>
          <w:szCs w:val="28"/>
          <w:lang w:val="en-US"/>
        </w:rPr>
        <w:t>plan</w:t>
      </w:r>
      <w:r w:rsidR="00565D50">
        <w:rPr>
          <w:rFonts w:eastAsia="仿宋_GB2312"/>
          <w:bCs/>
          <w:sz w:val="28"/>
          <w:szCs w:val="28"/>
          <w:lang w:val="en-US"/>
        </w:rPr>
        <w:t>ning</w:t>
      </w:r>
      <w:r w:rsidR="00565D50" w:rsidRPr="006A7FD4">
        <w:rPr>
          <w:rFonts w:eastAsia="仿宋_GB2312"/>
          <w:bCs/>
          <w:sz w:val="28"/>
          <w:szCs w:val="28"/>
          <w:lang w:val="en-US"/>
        </w:rPr>
        <w:t xml:space="preserve"> </w:t>
      </w:r>
      <w:r w:rsidR="003D7DF2" w:rsidRPr="006A7FD4">
        <w:rPr>
          <w:rFonts w:eastAsia="仿宋_GB2312"/>
          <w:bCs/>
          <w:sz w:val="28"/>
          <w:szCs w:val="28"/>
          <w:lang w:val="en-US"/>
        </w:rPr>
        <w:t>to raise</w:t>
      </w:r>
      <w:r>
        <w:rPr>
          <w:rFonts w:eastAsia="仿宋_GB2312"/>
          <w:bCs/>
          <w:sz w:val="28"/>
          <w:szCs w:val="28"/>
          <w:lang w:val="en-US"/>
        </w:rPr>
        <w:t xml:space="preserve"> RMB</w:t>
      </w:r>
      <w:r w:rsidR="003D7DF2" w:rsidRPr="006A7FD4">
        <w:rPr>
          <w:rFonts w:eastAsia="仿宋_GB2312"/>
          <w:bCs/>
          <w:sz w:val="28"/>
          <w:szCs w:val="28"/>
          <w:lang w:val="en-US"/>
        </w:rPr>
        <w:t xml:space="preserve"> 150 million</w:t>
      </w:r>
      <w:r>
        <w:rPr>
          <w:rFonts w:eastAsia="仿宋_GB2312"/>
          <w:bCs/>
          <w:sz w:val="28"/>
          <w:szCs w:val="28"/>
          <w:lang w:val="en-US"/>
        </w:rPr>
        <w:t xml:space="preserve">, </w:t>
      </w:r>
      <w:r w:rsidR="003D7DF2" w:rsidRPr="006A7FD4">
        <w:rPr>
          <w:rFonts w:eastAsia="仿宋_GB2312"/>
          <w:bCs/>
          <w:sz w:val="28"/>
          <w:szCs w:val="28"/>
          <w:lang w:val="en-US"/>
        </w:rPr>
        <w:t>mainly for market expansion and product development</w:t>
      </w:r>
      <w:r w:rsidR="00565D50">
        <w:rPr>
          <w:rFonts w:eastAsia="仿宋_GB2312"/>
          <w:bCs/>
          <w:sz w:val="28"/>
          <w:szCs w:val="28"/>
          <w:lang w:val="en-US"/>
        </w:rPr>
        <w:t xml:space="preserve"> purposes</w:t>
      </w:r>
      <w:r w:rsidR="003D7DF2" w:rsidRPr="006A7FD4">
        <w:rPr>
          <w:rFonts w:eastAsia="仿宋_GB2312"/>
          <w:bCs/>
          <w:sz w:val="28"/>
          <w:szCs w:val="28"/>
          <w:lang w:val="en-US"/>
        </w:rPr>
        <w:t>.</w:t>
      </w:r>
    </w:p>
    <w:p w14:paraId="4C539D9C" w14:textId="4D052E3F" w:rsidR="00F66302" w:rsidRDefault="003D7DF2" w:rsidP="009556E2">
      <w:pPr>
        <w:tabs>
          <w:tab w:val="left" w:pos="330"/>
        </w:tabs>
        <w:spacing w:before="220" w:after="220" w:line="360" w:lineRule="auto"/>
        <w:jc w:val="both"/>
        <w:rPr>
          <w:rFonts w:eastAsia="仿宋_GB2312"/>
          <w:b/>
          <w:bCs/>
          <w:sz w:val="28"/>
          <w:szCs w:val="28"/>
          <w:lang w:val="en-US"/>
        </w:rPr>
      </w:pPr>
      <w:r>
        <w:rPr>
          <w:rFonts w:eastAsia="仿宋_GB2312" w:hint="eastAsia"/>
          <w:b/>
          <w:bCs/>
          <w:sz w:val="28"/>
          <w:szCs w:val="28"/>
          <w:lang w:val="en-US"/>
        </w:rPr>
        <w:t>M</w:t>
      </w:r>
      <w:r>
        <w:rPr>
          <w:rFonts w:eastAsia="仿宋_GB2312"/>
          <w:b/>
          <w:bCs/>
          <w:sz w:val="28"/>
          <w:szCs w:val="28"/>
          <w:lang w:val="en-US"/>
        </w:rPr>
        <w:t>ECH MIND</w:t>
      </w:r>
    </w:p>
    <w:p w14:paraId="4A3413F8" w14:textId="0729DDB7" w:rsidR="003D7DF2" w:rsidRDefault="009E37F5" w:rsidP="009A2AEF">
      <w:pPr>
        <w:spacing w:line="360" w:lineRule="auto"/>
        <w:jc w:val="both"/>
        <w:rPr>
          <w:rFonts w:eastAsia="仿宋_GB2312"/>
          <w:bCs/>
          <w:sz w:val="28"/>
          <w:szCs w:val="28"/>
          <w:lang w:val="en-US"/>
        </w:rPr>
      </w:pPr>
      <w:r>
        <w:rPr>
          <w:rFonts w:eastAsia="仿宋_GB2312"/>
          <w:bCs/>
          <w:sz w:val="28"/>
          <w:szCs w:val="28"/>
          <w:lang w:val="en-US"/>
        </w:rPr>
        <w:t xml:space="preserve">The target company is </w:t>
      </w:r>
      <w:r w:rsidRPr="009E37F5">
        <w:rPr>
          <w:rFonts w:eastAsia="仿宋_GB2312"/>
          <w:bCs/>
          <w:sz w:val="28"/>
          <w:szCs w:val="28"/>
          <w:lang w:val="en-US"/>
        </w:rPr>
        <w:t xml:space="preserve">the leading 2B robot AI software company in China, using cutting-edge technologies such as deep learning and 3D vision to </w:t>
      </w:r>
      <w:r w:rsidR="0015586C">
        <w:rPr>
          <w:rFonts w:eastAsia="仿宋_GB2312"/>
          <w:bCs/>
          <w:sz w:val="28"/>
          <w:szCs w:val="28"/>
          <w:lang w:val="en-US"/>
        </w:rPr>
        <w:lastRenderedPageBreak/>
        <w:t>provide</w:t>
      </w:r>
      <w:r w:rsidR="0015586C" w:rsidRPr="0015586C">
        <w:rPr>
          <w:rFonts w:eastAsia="仿宋_GB2312"/>
          <w:bCs/>
          <w:sz w:val="28"/>
          <w:szCs w:val="28"/>
          <w:lang w:val="en-US"/>
        </w:rPr>
        <w:t xml:space="preserve"> a full-stack, cost-effective hybrid sorting, unwinding and loading and unloading solution</w:t>
      </w:r>
      <w:r w:rsidR="0015586C">
        <w:rPr>
          <w:rFonts w:eastAsia="仿宋_GB2312"/>
          <w:bCs/>
          <w:sz w:val="28"/>
          <w:szCs w:val="28"/>
          <w:lang w:val="en-US"/>
        </w:rPr>
        <w:t xml:space="preserve"> </w:t>
      </w:r>
      <w:r w:rsidRPr="009E37F5">
        <w:rPr>
          <w:rFonts w:eastAsia="仿宋_GB2312"/>
          <w:bCs/>
          <w:sz w:val="28"/>
          <w:szCs w:val="28"/>
          <w:lang w:val="en-US"/>
        </w:rPr>
        <w:t>for many industrial fields including 3C manufacturing, industrial logistics, express delivery, automotive, and new energy vehicles.</w:t>
      </w:r>
      <w:r w:rsidR="0015586C">
        <w:rPr>
          <w:rFonts w:eastAsia="仿宋_GB2312"/>
          <w:bCs/>
          <w:sz w:val="28"/>
          <w:szCs w:val="28"/>
          <w:lang w:val="en-US"/>
        </w:rPr>
        <w:t xml:space="preserve"> </w:t>
      </w:r>
      <w:r w:rsidR="00C61E4C">
        <w:rPr>
          <w:rFonts w:eastAsia="仿宋_GB2312"/>
          <w:bCs/>
          <w:sz w:val="28"/>
          <w:szCs w:val="28"/>
          <w:lang w:val="en-US"/>
        </w:rPr>
        <w:t>The target company is seeking</w:t>
      </w:r>
      <w:r w:rsidR="0015586C">
        <w:rPr>
          <w:rFonts w:eastAsia="仿宋_GB2312"/>
          <w:bCs/>
          <w:sz w:val="28"/>
          <w:szCs w:val="28"/>
          <w:lang w:val="en-US"/>
        </w:rPr>
        <w:t xml:space="preserve"> </w:t>
      </w:r>
      <w:r w:rsidR="00C61E4C">
        <w:rPr>
          <w:rFonts w:eastAsia="仿宋_GB2312"/>
          <w:bCs/>
          <w:sz w:val="28"/>
          <w:szCs w:val="28"/>
          <w:lang w:val="en-US"/>
        </w:rPr>
        <w:t xml:space="preserve">Series A </w:t>
      </w:r>
      <w:r w:rsidR="00DB0831">
        <w:rPr>
          <w:rFonts w:eastAsia="仿宋_GB2312"/>
          <w:bCs/>
          <w:sz w:val="28"/>
          <w:szCs w:val="28"/>
          <w:lang w:val="en-US"/>
        </w:rPr>
        <w:t>funding.</w:t>
      </w:r>
      <w:r w:rsidR="00674B3F" w:rsidRPr="009A2AEF">
        <w:rPr>
          <w:rFonts w:eastAsia="仿宋_GB2312" w:hint="eastAsia"/>
          <w:bCs/>
          <w:sz w:val="28"/>
          <w:szCs w:val="28"/>
          <w:lang w:val="en-US"/>
        </w:rPr>
        <w:t xml:space="preserve"> </w:t>
      </w:r>
    </w:p>
    <w:p w14:paraId="409B0855" w14:textId="73DEFD92" w:rsidR="006A2372" w:rsidRPr="006A7FD4" w:rsidRDefault="006A2372" w:rsidP="009556E2">
      <w:pPr>
        <w:tabs>
          <w:tab w:val="left" w:pos="330"/>
        </w:tabs>
        <w:spacing w:before="220" w:after="220" w:line="360" w:lineRule="auto"/>
        <w:jc w:val="both"/>
        <w:rPr>
          <w:rFonts w:eastAsia="仿宋_GB2312"/>
          <w:b/>
          <w:bCs/>
          <w:sz w:val="28"/>
          <w:szCs w:val="28"/>
          <w:lang w:val="en-US"/>
        </w:rPr>
      </w:pPr>
      <w:r w:rsidRPr="00B85A1B">
        <w:rPr>
          <w:rFonts w:eastAsia="仿宋_GB2312"/>
          <w:b/>
          <w:bCs/>
          <w:sz w:val="28"/>
          <w:szCs w:val="28"/>
          <w:lang w:val="en-US"/>
        </w:rPr>
        <w:t>IV. Completed Transactions</w:t>
      </w:r>
    </w:p>
    <w:p w14:paraId="27F812CE" w14:textId="42EFBE0D" w:rsidR="006A2372" w:rsidRDefault="006A2372" w:rsidP="006A2372">
      <w:pPr>
        <w:tabs>
          <w:tab w:val="left" w:pos="330"/>
        </w:tabs>
        <w:spacing w:before="220" w:after="220" w:line="360" w:lineRule="auto"/>
        <w:jc w:val="both"/>
        <w:rPr>
          <w:b/>
          <w:sz w:val="28"/>
          <w:szCs w:val="28"/>
        </w:rPr>
      </w:pPr>
      <w:r>
        <w:rPr>
          <w:rFonts w:hint="eastAsia"/>
          <w:b/>
          <w:sz w:val="28"/>
          <w:szCs w:val="28"/>
        </w:rPr>
        <w:t>Y</w:t>
      </w:r>
      <w:r w:rsidR="00A6747F">
        <w:rPr>
          <w:b/>
          <w:sz w:val="28"/>
          <w:szCs w:val="28"/>
        </w:rPr>
        <w:t xml:space="preserve">ANCOAL AUSTRALIA </w:t>
      </w:r>
      <w:r w:rsidR="00595061">
        <w:rPr>
          <w:b/>
          <w:sz w:val="28"/>
          <w:szCs w:val="28"/>
        </w:rPr>
        <w:t>BOND EXTENSION</w:t>
      </w:r>
    </w:p>
    <w:p w14:paraId="09410C6D" w14:textId="13E50974" w:rsidR="006A2372" w:rsidRPr="006A7FD4" w:rsidRDefault="006A2372" w:rsidP="009A2AEF">
      <w:pPr>
        <w:spacing w:line="360" w:lineRule="auto"/>
        <w:jc w:val="both"/>
        <w:rPr>
          <w:rFonts w:eastAsia="仿宋_GB2312"/>
          <w:bCs/>
          <w:sz w:val="28"/>
          <w:szCs w:val="28"/>
          <w:lang w:val="en-US"/>
        </w:rPr>
      </w:pPr>
      <w:r w:rsidRPr="006A2372">
        <w:rPr>
          <w:rFonts w:eastAsia="仿宋_GB2312"/>
          <w:bCs/>
          <w:sz w:val="28"/>
          <w:szCs w:val="28"/>
          <w:lang w:val="en-US"/>
        </w:rPr>
        <w:t xml:space="preserve">At the beginning of 2016, the </w:t>
      </w:r>
      <w:r w:rsidR="00F35116">
        <w:rPr>
          <w:rFonts w:eastAsia="仿宋_GB2312"/>
          <w:bCs/>
          <w:sz w:val="28"/>
          <w:szCs w:val="28"/>
          <w:lang w:val="en-US"/>
        </w:rPr>
        <w:t>C</w:t>
      </w:r>
      <w:r w:rsidRPr="006A2372">
        <w:rPr>
          <w:rFonts w:eastAsia="仿宋_GB2312"/>
          <w:bCs/>
          <w:sz w:val="28"/>
          <w:szCs w:val="28"/>
          <w:lang w:val="en-US"/>
        </w:rPr>
        <w:t>ompany</w:t>
      </w:r>
      <w:r w:rsidR="00F35116">
        <w:rPr>
          <w:rFonts w:eastAsia="仿宋_GB2312"/>
          <w:bCs/>
          <w:sz w:val="28"/>
          <w:szCs w:val="28"/>
          <w:lang w:val="en-US"/>
        </w:rPr>
        <w:t>, together with</w:t>
      </w:r>
      <w:r w:rsidR="00B85A1B">
        <w:rPr>
          <w:rFonts w:eastAsia="仿宋_GB2312"/>
          <w:bCs/>
          <w:sz w:val="28"/>
          <w:szCs w:val="28"/>
          <w:lang w:val="en-US"/>
        </w:rPr>
        <w:t xml:space="preserve"> Industrial Bank and BOC</w:t>
      </w:r>
      <w:r w:rsidRPr="006A2372">
        <w:rPr>
          <w:rFonts w:eastAsia="仿宋_GB2312"/>
          <w:bCs/>
          <w:sz w:val="28"/>
          <w:szCs w:val="28"/>
          <w:lang w:val="en-US"/>
        </w:rPr>
        <w:t xml:space="preserve"> International</w:t>
      </w:r>
      <w:r w:rsidR="00F35116">
        <w:rPr>
          <w:rFonts w:eastAsia="仿宋_GB2312"/>
          <w:bCs/>
          <w:sz w:val="28"/>
          <w:szCs w:val="28"/>
          <w:lang w:val="en-US"/>
        </w:rPr>
        <w:t>,</w:t>
      </w:r>
      <w:r w:rsidR="00B85A1B">
        <w:rPr>
          <w:rFonts w:eastAsia="仿宋_GB2312"/>
          <w:bCs/>
          <w:sz w:val="28"/>
          <w:szCs w:val="28"/>
          <w:lang w:val="en-US"/>
        </w:rPr>
        <w:t xml:space="preserve"> subscribe</w:t>
      </w:r>
      <w:r w:rsidR="00F35116">
        <w:rPr>
          <w:rFonts w:eastAsia="仿宋_GB2312"/>
          <w:bCs/>
          <w:sz w:val="28"/>
          <w:szCs w:val="28"/>
          <w:lang w:val="en-US"/>
        </w:rPr>
        <w:t>d</w:t>
      </w:r>
      <w:r w:rsidR="00B85A1B">
        <w:rPr>
          <w:rFonts w:eastAsia="仿宋_GB2312"/>
          <w:bCs/>
          <w:sz w:val="28"/>
          <w:szCs w:val="28"/>
          <w:lang w:val="en-US"/>
        </w:rPr>
        <w:t xml:space="preserve"> </w:t>
      </w:r>
      <w:r w:rsidR="00F35116">
        <w:rPr>
          <w:rFonts w:eastAsia="仿宋_GB2312"/>
          <w:bCs/>
          <w:sz w:val="28"/>
          <w:szCs w:val="28"/>
          <w:lang w:val="en-US"/>
        </w:rPr>
        <w:t>to the</w:t>
      </w:r>
      <w:r w:rsidR="00B85A1B">
        <w:rPr>
          <w:rFonts w:eastAsia="仿宋_GB2312"/>
          <w:bCs/>
          <w:sz w:val="28"/>
          <w:szCs w:val="28"/>
          <w:lang w:val="en-US"/>
        </w:rPr>
        <w:t xml:space="preserve"> USD </w:t>
      </w:r>
      <w:r w:rsidRPr="006A2372">
        <w:rPr>
          <w:rFonts w:eastAsia="仿宋_GB2312"/>
          <w:bCs/>
          <w:sz w:val="28"/>
          <w:szCs w:val="28"/>
          <w:lang w:val="en-US"/>
        </w:rPr>
        <w:t xml:space="preserve">775 million </w:t>
      </w:r>
      <w:r w:rsidR="00F35116">
        <w:rPr>
          <w:rFonts w:eastAsia="仿宋_GB2312"/>
          <w:bCs/>
          <w:sz w:val="28"/>
          <w:szCs w:val="28"/>
          <w:lang w:val="en-US"/>
        </w:rPr>
        <w:t xml:space="preserve">asset-backed bond issuance </w:t>
      </w:r>
      <w:r w:rsidRPr="006A2372">
        <w:rPr>
          <w:rFonts w:eastAsia="仿宋_GB2312"/>
          <w:bCs/>
          <w:sz w:val="28"/>
          <w:szCs w:val="28"/>
          <w:lang w:val="en-US"/>
        </w:rPr>
        <w:t xml:space="preserve">by </w:t>
      </w:r>
      <w:proofErr w:type="spellStart"/>
      <w:r w:rsidRPr="006A2372">
        <w:rPr>
          <w:rFonts w:eastAsia="仿宋_GB2312"/>
          <w:bCs/>
          <w:sz w:val="28"/>
          <w:szCs w:val="28"/>
          <w:lang w:val="en-US"/>
        </w:rPr>
        <w:t>Watagan</w:t>
      </w:r>
      <w:proofErr w:type="spellEnd"/>
      <w:r w:rsidRPr="006A2372">
        <w:rPr>
          <w:rFonts w:eastAsia="仿宋_GB2312"/>
          <w:bCs/>
          <w:sz w:val="28"/>
          <w:szCs w:val="28"/>
          <w:lang w:val="en-US"/>
        </w:rPr>
        <w:t xml:space="preserve"> Mining</w:t>
      </w:r>
      <w:r w:rsidR="00F35116">
        <w:rPr>
          <w:rFonts w:eastAsia="仿宋_GB2312"/>
          <w:bCs/>
          <w:sz w:val="28"/>
          <w:szCs w:val="28"/>
          <w:lang w:val="en-US"/>
        </w:rPr>
        <w:t xml:space="preserve"> (</w:t>
      </w:r>
      <w:r w:rsidRPr="006A2372">
        <w:rPr>
          <w:rFonts w:eastAsia="仿宋_GB2312"/>
          <w:bCs/>
          <w:sz w:val="28"/>
          <w:szCs w:val="28"/>
          <w:lang w:val="en-US"/>
        </w:rPr>
        <w:t xml:space="preserve">a wholly-owned subsidiary of </w:t>
      </w:r>
      <w:proofErr w:type="spellStart"/>
      <w:r w:rsidRPr="006A2372">
        <w:rPr>
          <w:rFonts w:eastAsia="仿宋_GB2312"/>
          <w:bCs/>
          <w:sz w:val="28"/>
          <w:szCs w:val="28"/>
          <w:lang w:val="en-US"/>
        </w:rPr>
        <w:t>Y</w:t>
      </w:r>
      <w:r w:rsidR="007026FA">
        <w:rPr>
          <w:rFonts w:eastAsia="仿宋_GB2312"/>
          <w:bCs/>
          <w:sz w:val="28"/>
          <w:szCs w:val="28"/>
          <w:lang w:val="en-US"/>
        </w:rPr>
        <w:t>ancoal</w:t>
      </w:r>
      <w:proofErr w:type="spellEnd"/>
      <w:r w:rsidR="007026FA">
        <w:rPr>
          <w:rFonts w:eastAsia="仿宋_GB2312"/>
          <w:bCs/>
          <w:sz w:val="28"/>
          <w:szCs w:val="28"/>
          <w:lang w:val="en-US"/>
        </w:rPr>
        <w:t xml:space="preserve"> Australia</w:t>
      </w:r>
      <w:r w:rsidR="00F35116">
        <w:rPr>
          <w:rFonts w:eastAsia="仿宋_GB2312"/>
          <w:bCs/>
          <w:sz w:val="28"/>
          <w:szCs w:val="28"/>
          <w:lang w:val="en-US"/>
        </w:rPr>
        <w:t>).  T</w:t>
      </w:r>
      <w:r w:rsidR="007026FA">
        <w:rPr>
          <w:rFonts w:eastAsia="仿宋_GB2312"/>
          <w:bCs/>
          <w:sz w:val="28"/>
          <w:szCs w:val="28"/>
          <w:lang w:val="en-US"/>
        </w:rPr>
        <w:t>he Company</w:t>
      </w:r>
      <w:r w:rsidR="00F35116">
        <w:rPr>
          <w:rFonts w:eastAsia="仿宋_GB2312"/>
          <w:bCs/>
          <w:sz w:val="28"/>
          <w:szCs w:val="28"/>
          <w:lang w:val="en-US"/>
        </w:rPr>
        <w:t xml:space="preserve"> subscribed, through its deal fund</w:t>
      </w:r>
      <w:r w:rsidR="00461816">
        <w:rPr>
          <w:rFonts w:eastAsia="仿宋_GB2312"/>
          <w:bCs/>
          <w:sz w:val="28"/>
          <w:szCs w:val="28"/>
          <w:lang w:val="en-US"/>
        </w:rPr>
        <w:t xml:space="preserve"> consisting of two limited partners</w:t>
      </w:r>
      <w:r w:rsidR="00F35116">
        <w:rPr>
          <w:rFonts w:eastAsia="仿宋_GB2312"/>
          <w:bCs/>
          <w:sz w:val="28"/>
          <w:szCs w:val="28"/>
          <w:lang w:val="en-US"/>
        </w:rPr>
        <w:t>,</w:t>
      </w:r>
      <w:r w:rsidR="007026FA">
        <w:rPr>
          <w:rFonts w:eastAsia="仿宋_GB2312"/>
          <w:bCs/>
          <w:sz w:val="28"/>
          <w:szCs w:val="28"/>
          <w:lang w:val="en-US"/>
        </w:rPr>
        <w:t xml:space="preserve"> </w:t>
      </w:r>
      <w:r w:rsidR="00461816">
        <w:rPr>
          <w:rFonts w:eastAsia="仿宋_GB2312"/>
          <w:bCs/>
          <w:sz w:val="28"/>
          <w:szCs w:val="28"/>
          <w:lang w:val="en-US"/>
        </w:rPr>
        <w:t>an</w:t>
      </w:r>
      <w:r w:rsidR="00F35116">
        <w:rPr>
          <w:rFonts w:eastAsia="仿宋_GB2312"/>
          <w:bCs/>
          <w:sz w:val="28"/>
          <w:szCs w:val="28"/>
          <w:lang w:val="en-US"/>
        </w:rPr>
        <w:t xml:space="preserve"> aggregate amount of </w:t>
      </w:r>
      <w:r w:rsidR="007026FA">
        <w:rPr>
          <w:rFonts w:eastAsia="仿宋_GB2312"/>
          <w:bCs/>
          <w:sz w:val="28"/>
          <w:szCs w:val="28"/>
          <w:lang w:val="en-US"/>
        </w:rPr>
        <w:t xml:space="preserve">USD </w:t>
      </w:r>
      <w:r w:rsidRPr="006A2372">
        <w:rPr>
          <w:rFonts w:eastAsia="仿宋_GB2312"/>
          <w:bCs/>
          <w:sz w:val="28"/>
          <w:szCs w:val="28"/>
          <w:lang w:val="en-US"/>
        </w:rPr>
        <w:t>25 million</w:t>
      </w:r>
      <w:r w:rsidR="00461816">
        <w:rPr>
          <w:rFonts w:eastAsia="仿宋_GB2312"/>
          <w:bCs/>
          <w:sz w:val="28"/>
          <w:szCs w:val="28"/>
          <w:lang w:val="en-US"/>
        </w:rPr>
        <w:t xml:space="preserve"> and serves as the instructing bondholder for the other bondholders</w:t>
      </w:r>
      <w:r w:rsidRPr="006A2372">
        <w:rPr>
          <w:rFonts w:eastAsia="仿宋_GB2312"/>
          <w:bCs/>
          <w:sz w:val="28"/>
          <w:szCs w:val="28"/>
          <w:lang w:val="en-US"/>
        </w:rPr>
        <w:t xml:space="preserve">. </w:t>
      </w:r>
      <w:r w:rsidR="00F35116">
        <w:rPr>
          <w:rFonts w:eastAsia="仿宋_GB2312"/>
          <w:bCs/>
          <w:sz w:val="28"/>
          <w:szCs w:val="28"/>
          <w:lang w:val="en-US"/>
        </w:rPr>
        <w:t xml:space="preserve"> The bonds have a maturity of nine years but with </w:t>
      </w:r>
      <w:r w:rsidR="00E84D74">
        <w:rPr>
          <w:rFonts w:eastAsia="仿宋_GB2312"/>
          <w:bCs/>
          <w:sz w:val="28"/>
          <w:szCs w:val="28"/>
          <w:lang w:val="en-US"/>
        </w:rPr>
        <w:t xml:space="preserve">certain </w:t>
      </w:r>
      <w:r w:rsidR="00461816">
        <w:rPr>
          <w:rFonts w:eastAsia="仿宋_GB2312"/>
          <w:bCs/>
          <w:sz w:val="28"/>
          <w:szCs w:val="28"/>
          <w:lang w:val="en-US"/>
        </w:rPr>
        <w:t xml:space="preserve">exercise windows during which the bondholders may put their bonds back to the issuer.  </w:t>
      </w:r>
      <w:r w:rsidRPr="006A2372">
        <w:rPr>
          <w:rFonts w:eastAsia="仿宋_GB2312"/>
          <w:bCs/>
          <w:sz w:val="28"/>
          <w:szCs w:val="28"/>
          <w:lang w:val="en-US"/>
        </w:rPr>
        <w:t xml:space="preserve">The first </w:t>
      </w:r>
      <w:r w:rsidR="00461816">
        <w:rPr>
          <w:rFonts w:eastAsia="仿宋_GB2312"/>
          <w:bCs/>
          <w:sz w:val="28"/>
          <w:szCs w:val="28"/>
          <w:lang w:val="en-US"/>
        </w:rPr>
        <w:t>put option</w:t>
      </w:r>
      <w:r w:rsidR="00461816" w:rsidRPr="006A2372">
        <w:rPr>
          <w:rFonts w:eastAsia="仿宋_GB2312"/>
          <w:bCs/>
          <w:sz w:val="28"/>
          <w:szCs w:val="28"/>
          <w:lang w:val="en-US"/>
        </w:rPr>
        <w:t xml:space="preserve"> </w:t>
      </w:r>
      <w:r w:rsidRPr="006A2372">
        <w:rPr>
          <w:rFonts w:eastAsia="仿宋_GB2312"/>
          <w:bCs/>
          <w:sz w:val="28"/>
          <w:szCs w:val="28"/>
          <w:lang w:val="en-US"/>
        </w:rPr>
        <w:t xml:space="preserve">window </w:t>
      </w:r>
      <w:r w:rsidR="00461816">
        <w:rPr>
          <w:rFonts w:eastAsia="仿宋_GB2312"/>
          <w:bCs/>
          <w:sz w:val="28"/>
          <w:szCs w:val="28"/>
          <w:lang w:val="en-US"/>
        </w:rPr>
        <w:t xml:space="preserve">is from </w:t>
      </w:r>
      <w:r w:rsidRPr="006A2372">
        <w:rPr>
          <w:rFonts w:eastAsia="仿宋_GB2312"/>
          <w:bCs/>
          <w:sz w:val="28"/>
          <w:szCs w:val="28"/>
          <w:lang w:val="en-US"/>
        </w:rPr>
        <w:t>January</w:t>
      </w:r>
      <w:r w:rsidR="00461816">
        <w:rPr>
          <w:rFonts w:eastAsia="仿宋_GB2312"/>
          <w:bCs/>
          <w:sz w:val="28"/>
          <w:szCs w:val="28"/>
          <w:lang w:val="en-US"/>
        </w:rPr>
        <w:t xml:space="preserve"> 1, 2019 to January 7,</w:t>
      </w:r>
      <w:r w:rsidRPr="006A2372">
        <w:rPr>
          <w:rFonts w:eastAsia="仿宋_GB2312"/>
          <w:bCs/>
          <w:sz w:val="28"/>
          <w:szCs w:val="28"/>
          <w:lang w:val="en-US"/>
        </w:rPr>
        <w:t xml:space="preserve"> 2019</w:t>
      </w:r>
      <w:r w:rsidR="00461816">
        <w:rPr>
          <w:rFonts w:eastAsia="仿宋_GB2312"/>
          <w:bCs/>
          <w:sz w:val="28"/>
          <w:szCs w:val="28"/>
          <w:lang w:val="en-US"/>
        </w:rPr>
        <w:t xml:space="preserve">. </w:t>
      </w:r>
      <w:r w:rsidR="00461816" w:rsidRPr="006A2372">
        <w:rPr>
          <w:rFonts w:eastAsia="仿宋_GB2312"/>
          <w:bCs/>
          <w:sz w:val="28"/>
          <w:szCs w:val="28"/>
          <w:lang w:val="en-US"/>
        </w:rPr>
        <w:t xml:space="preserve"> </w:t>
      </w:r>
      <w:r w:rsidR="00F34A26">
        <w:rPr>
          <w:rFonts w:eastAsia="仿宋_GB2312"/>
          <w:bCs/>
          <w:sz w:val="28"/>
          <w:szCs w:val="28"/>
          <w:lang w:val="en-US"/>
        </w:rPr>
        <w:t>Due to the 2018 Asset Management Regulations, one of the Company’s LPs in this transaction is required to</w:t>
      </w:r>
      <w:r w:rsidRPr="006A2372">
        <w:rPr>
          <w:rFonts w:eastAsia="仿宋_GB2312"/>
          <w:bCs/>
          <w:sz w:val="28"/>
          <w:szCs w:val="28"/>
          <w:lang w:val="en-US"/>
        </w:rPr>
        <w:t xml:space="preserve"> </w:t>
      </w:r>
      <w:r w:rsidR="00F34A26" w:rsidRPr="006A2372">
        <w:rPr>
          <w:rFonts w:eastAsia="仿宋_GB2312"/>
          <w:bCs/>
          <w:sz w:val="28"/>
          <w:szCs w:val="28"/>
          <w:lang w:val="en-US"/>
        </w:rPr>
        <w:t>withdr</w:t>
      </w:r>
      <w:r w:rsidR="00F34A26">
        <w:rPr>
          <w:rFonts w:eastAsia="仿宋_GB2312"/>
          <w:bCs/>
          <w:sz w:val="28"/>
          <w:szCs w:val="28"/>
          <w:lang w:val="en-US"/>
        </w:rPr>
        <w:t>aw</w:t>
      </w:r>
      <w:r w:rsidR="00F34A26" w:rsidRPr="006A2372">
        <w:rPr>
          <w:rFonts w:eastAsia="仿宋_GB2312"/>
          <w:bCs/>
          <w:sz w:val="28"/>
          <w:szCs w:val="28"/>
          <w:lang w:val="en-US"/>
        </w:rPr>
        <w:t xml:space="preserve"> </w:t>
      </w:r>
      <w:r w:rsidR="00E84D74">
        <w:rPr>
          <w:rFonts w:eastAsia="仿宋_GB2312"/>
          <w:bCs/>
          <w:sz w:val="28"/>
          <w:szCs w:val="28"/>
          <w:lang w:val="en-US"/>
        </w:rPr>
        <w:t>its</w:t>
      </w:r>
      <w:r w:rsidR="00F34A26">
        <w:rPr>
          <w:rFonts w:eastAsia="仿宋_GB2312"/>
          <w:bCs/>
          <w:sz w:val="28"/>
          <w:szCs w:val="28"/>
          <w:lang w:val="en-US"/>
        </w:rPr>
        <w:t xml:space="preserve"> money and exit from the deal fund</w:t>
      </w:r>
      <w:r w:rsidR="007026FA">
        <w:rPr>
          <w:rFonts w:eastAsia="仿宋_GB2312"/>
          <w:bCs/>
          <w:sz w:val="28"/>
          <w:szCs w:val="28"/>
          <w:lang w:val="en-US"/>
        </w:rPr>
        <w:t>. The C</w:t>
      </w:r>
      <w:r w:rsidRPr="006A2372">
        <w:rPr>
          <w:rFonts w:eastAsia="仿宋_GB2312"/>
          <w:bCs/>
          <w:sz w:val="28"/>
          <w:szCs w:val="28"/>
          <w:lang w:val="en-US"/>
        </w:rPr>
        <w:t xml:space="preserve">ompany </w:t>
      </w:r>
      <w:r w:rsidR="00B66E5C">
        <w:rPr>
          <w:rFonts w:eastAsia="仿宋_GB2312"/>
          <w:bCs/>
          <w:sz w:val="28"/>
          <w:szCs w:val="28"/>
          <w:lang w:val="en-US"/>
        </w:rPr>
        <w:t xml:space="preserve">has secured </w:t>
      </w:r>
      <w:r w:rsidR="00F34A26">
        <w:rPr>
          <w:rFonts w:eastAsia="仿宋_GB2312"/>
          <w:bCs/>
          <w:sz w:val="28"/>
          <w:szCs w:val="28"/>
          <w:lang w:val="en-US"/>
        </w:rPr>
        <w:t>replacement funds for the exiting LP</w:t>
      </w:r>
      <w:r w:rsidR="00E84D74">
        <w:rPr>
          <w:rFonts w:eastAsia="仿宋_GB2312"/>
          <w:bCs/>
          <w:sz w:val="28"/>
          <w:szCs w:val="28"/>
          <w:lang w:val="en-US"/>
        </w:rPr>
        <w:t>,</w:t>
      </w:r>
      <w:r w:rsidR="00B66E5C">
        <w:rPr>
          <w:rFonts w:eastAsia="仿宋_GB2312"/>
          <w:bCs/>
          <w:sz w:val="28"/>
          <w:szCs w:val="28"/>
          <w:lang w:val="en-US"/>
        </w:rPr>
        <w:t xml:space="preserve"> </w:t>
      </w:r>
      <w:r w:rsidR="00E84D74">
        <w:rPr>
          <w:rFonts w:eastAsia="仿宋_GB2312"/>
          <w:bCs/>
          <w:sz w:val="28"/>
          <w:szCs w:val="28"/>
          <w:lang w:val="en-US"/>
        </w:rPr>
        <w:t>h</w:t>
      </w:r>
      <w:r w:rsidR="00B66E5C">
        <w:rPr>
          <w:rFonts w:eastAsia="仿宋_GB2312"/>
          <w:bCs/>
          <w:sz w:val="28"/>
          <w:szCs w:val="28"/>
          <w:lang w:val="en-US"/>
        </w:rPr>
        <w:t>owever,</w:t>
      </w:r>
      <w:r w:rsidRPr="006A2372">
        <w:rPr>
          <w:rFonts w:eastAsia="仿宋_GB2312"/>
          <w:bCs/>
          <w:sz w:val="28"/>
          <w:szCs w:val="28"/>
          <w:lang w:val="en-US"/>
        </w:rPr>
        <w:t xml:space="preserve"> </w:t>
      </w:r>
      <w:r w:rsidR="00B66E5C">
        <w:rPr>
          <w:rFonts w:eastAsia="仿宋_GB2312"/>
          <w:bCs/>
          <w:sz w:val="28"/>
          <w:szCs w:val="28"/>
          <w:lang w:val="en-US"/>
        </w:rPr>
        <w:t>we are still waiting for Industrial Bank’s decision on whether it will exercise the put option</w:t>
      </w:r>
      <w:r w:rsidR="007E1AED">
        <w:rPr>
          <w:rFonts w:eastAsia="仿宋_GB2312"/>
          <w:bCs/>
          <w:sz w:val="28"/>
          <w:szCs w:val="28"/>
          <w:lang w:val="en-US"/>
        </w:rPr>
        <w:t xml:space="preserve"> (</w:t>
      </w:r>
      <w:r w:rsidR="00B66E5C">
        <w:rPr>
          <w:rFonts w:eastAsia="仿宋_GB2312"/>
          <w:bCs/>
          <w:sz w:val="28"/>
          <w:szCs w:val="28"/>
          <w:lang w:val="en-US"/>
        </w:rPr>
        <w:t xml:space="preserve">under the relevant transaction documents, if Industrial Bank, being the single largest bondholder, exercises the put </w:t>
      </w:r>
      <w:r w:rsidR="00B66E5C">
        <w:rPr>
          <w:rFonts w:eastAsia="仿宋_GB2312"/>
          <w:bCs/>
          <w:sz w:val="28"/>
          <w:szCs w:val="28"/>
          <w:lang w:val="en-US"/>
        </w:rPr>
        <w:lastRenderedPageBreak/>
        <w:t>option, the other bondholders will be deemed to have exercised their put option as well</w:t>
      </w:r>
      <w:r w:rsidR="007E1AED">
        <w:rPr>
          <w:rFonts w:eastAsia="仿宋_GB2312"/>
          <w:bCs/>
          <w:sz w:val="28"/>
          <w:szCs w:val="28"/>
          <w:lang w:val="en-US"/>
        </w:rPr>
        <w:t>)</w:t>
      </w:r>
      <w:r w:rsidR="00B66E5C">
        <w:rPr>
          <w:rFonts w:eastAsia="仿宋_GB2312"/>
          <w:bCs/>
          <w:sz w:val="28"/>
          <w:szCs w:val="28"/>
          <w:lang w:val="en-US"/>
        </w:rPr>
        <w:t>.  In the event the put option is not exercised and BHR is successful in negotiating the same security package</w:t>
      </w:r>
      <w:r w:rsidR="007E1AED">
        <w:rPr>
          <w:rFonts w:eastAsia="仿宋_GB2312"/>
          <w:bCs/>
          <w:sz w:val="28"/>
          <w:szCs w:val="28"/>
          <w:lang w:val="en-US"/>
        </w:rPr>
        <w:t xml:space="preserve"> for its investors</w:t>
      </w:r>
      <w:r w:rsidR="00B66E5C">
        <w:rPr>
          <w:rFonts w:eastAsia="仿宋_GB2312"/>
          <w:bCs/>
          <w:sz w:val="28"/>
          <w:szCs w:val="28"/>
          <w:lang w:val="en-US"/>
        </w:rPr>
        <w:t>, the Company will continue to hold the US$25 million of bonds and</w:t>
      </w:r>
      <w:r w:rsidRPr="006A2372">
        <w:rPr>
          <w:rFonts w:eastAsia="仿宋_GB2312"/>
          <w:bCs/>
          <w:sz w:val="28"/>
          <w:szCs w:val="28"/>
          <w:lang w:val="en-US"/>
        </w:rPr>
        <w:t xml:space="preserve"> </w:t>
      </w:r>
      <w:r w:rsidR="00195F6E">
        <w:rPr>
          <w:rFonts w:eastAsia="仿宋_GB2312"/>
          <w:bCs/>
          <w:sz w:val="28"/>
          <w:szCs w:val="28"/>
          <w:lang w:val="en-US"/>
        </w:rPr>
        <w:t xml:space="preserve">will </w:t>
      </w:r>
      <w:r w:rsidR="00B66E5C">
        <w:rPr>
          <w:rFonts w:eastAsia="仿宋_GB2312"/>
          <w:bCs/>
          <w:sz w:val="28"/>
          <w:szCs w:val="28"/>
          <w:lang w:val="en-US"/>
        </w:rPr>
        <w:t xml:space="preserve">continue to </w:t>
      </w:r>
      <w:r w:rsidR="00195F6E" w:rsidRPr="009A2AEF">
        <w:rPr>
          <w:rFonts w:eastAsia="仿宋_GB2312"/>
          <w:bCs/>
          <w:sz w:val="28"/>
          <w:szCs w:val="28"/>
          <w:lang w:val="en-US"/>
        </w:rPr>
        <w:t>receive an annual fee of US</w:t>
      </w:r>
      <w:r w:rsidR="00432E38" w:rsidRPr="009A2AEF">
        <w:rPr>
          <w:rFonts w:eastAsia="仿宋_GB2312" w:hint="eastAsia"/>
          <w:bCs/>
          <w:sz w:val="28"/>
          <w:szCs w:val="28"/>
          <w:lang w:val="en-US"/>
        </w:rPr>
        <w:t>D</w:t>
      </w:r>
      <w:r w:rsidR="00195F6E" w:rsidRPr="009A2AEF">
        <w:rPr>
          <w:rFonts w:eastAsia="仿宋_GB2312"/>
          <w:bCs/>
          <w:sz w:val="28"/>
          <w:szCs w:val="28"/>
          <w:lang w:val="en-US"/>
        </w:rPr>
        <w:t xml:space="preserve"> </w:t>
      </w:r>
      <w:r w:rsidR="00B66E5C">
        <w:rPr>
          <w:rFonts w:eastAsia="仿宋_GB2312"/>
          <w:bCs/>
          <w:sz w:val="28"/>
          <w:szCs w:val="28"/>
          <w:lang w:val="en-US"/>
        </w:rPr>
        <w:t>2</w:t>
      </w:r>
      <w:r w:rsidR="00195F6E" w:rsidRPr="009A2AEF">
        <w:rPr>
          <w:rFonts w:eastAsia="仿宋_GB2312"/>
          <w:bCs/>
          <w:sz w:val="28"/>
          <w:szCs w:val="28"/>
          <w:lang w:val="en-US"/>
        </w:rPr>
        <w:t>.</w:t>
      </w:r>
      <w:r w:rsidR="00B66E5C">
        <w:rPr>
          <w:rFonts w:eastAsia="仿宋_GB2312"/>
          <w:bCs/>
          <w:sz w:val="28"/>
          <w:szCs w:val="28"/>
          <w:lang w:val="en-US"/>
        </w:rPr>
        <w:t>4</w:t>
      </w:r>
      <w:r w:rsidR="00B66E5C" w:rsidRPr="009A2AEF">
        <w:rPr>
          <w:rFonts w:eastAsia="仿宋_GB2312"/>
          <w:bCs/>
          <w:sz w:val="28"/>
          <w:szCs w:val="28"/>
          <w:lang w:val="en-US"/>
        </w:rPr>
        <w:t xml:space="preserve"> </w:t>
      </w:r>
      <w:r w:rsidR="00195F6E" w:rsidRPr="009A2AEF">
        <w:rPr>
          <w:rFonts w:eastAsia="仿宋_GB2312"/>
          <w:bCs/>
          <w:sz w:val="28"/>
          <w:szCs w:val="28"/>
          <w:lang w:val="en-US"/>
        </w:rPr>
        <w:t>million</w:t>
      </w:r>
      <w:r w:rsidR="005D1EE5">
        <w:rPr>
          <w:rFonts w:eastAsia="仿宋_GB2312"/>
          <w:bCs/>
          <w:sz w:val="28"/>
          <w:szCs w:val="28"/>
          <w:lang w:val="en-US"/>
        </w:rPr>
        <w:t xml:space="preserve"> (</w:t>
      </w:r>
      <w:r w:rsidR="007E1AED">
        <w:rPr>
          <w:rFonts w:eastAsia="仿宋_GB2312"/>
          <w:bCs/>
          <w:sz w:val="28"/>
          <w:szCs w:val="28"/>
          <w:lang w:val="en-US"/>
        </w:rPr>
        <w:t xml:space="preserve">out of the total US$3.6 million instructing </w:t>
      </w:r>
      <w:r w:rsidR="005D1EE5">
        <w:rPr>
          <w:rFonts w:eastAsia="仿宋_GB2312"/>
          <w:bCs/>
          <w:sz w:val="28"/>
          <w:szCs w:val="28"/>
          <w:lang w:val="en-US"/>
        </w:rPr>
        <w:t>bondholder fee</w:t>
      </w:r>
      <w:r w:rsidR="007E1AED">
        <w:rPr>
          <w:rFonts w:eastAsia="仿宋_GB2312"/>
          <w:bCs/>
          <w:sz w:val="28"/>
          <w:szCs w:val="28"/>
          <w:lang w:val="en-US"/>
        </w:rPr>
        <w:t>,</w:t>
      </w:r>
      <w:r w:rsidR="005D1EE5">
        <w:rPr>
          <w:rFonts w:eastAsia="仿宋_GB2312"/>
          <w:bCs/>
          <w:sz w:val="28"/>
          <w:szCs w:val="28"/>
          <w:lang w:val="en-US"/>
        </w:rPr>
        <w:t xml:space="preserve"> </w:t>
      </w:r>
      <w:r w:rsidR="007E1AED">
        <w:rPr>
          <w:rFonts w:eastAsia="仿宋_GB2312"/>
          <w:bCs/>
          <w:sz w:val="28"/>
          <w:szCs w:val="28"/>
          <w:lang w:val="en-US"/>
        </w:rPr>
        <w:t xml:space="preserve">US$1.2 million </w:t>
      </w:r>
      <w:r w:rsidR="005D1EE5">
        <w:rPr>
          <w:rFonts w:eastAsia="仿宋_GB2312"/>
          <w:bCs/>
          <w:sz w:val="28"/>
          <w:szCs w:val="28"/>
          <w:lang w:val="en-US"/>
        </w:rPr>
        <w:t>of which is payable to BOC International)</w:t>
      </w:r>
      <w:r w:rsidRPr="006A2372">
        <w:rPr>
          <w:rFonts w:eastAsia="仿宋_GB2312"/>
          <w:bCs/>
          <w:sz w:val="28"/>
          <w:szCs w:val="28"/>
          <w:lang w:val="en-US"/>
        </w:rPr>
        <w:t>.</w:t>
      </w:r>
    </w:p>
    <w:p w14:paraId="6B45C0E4" w14:textId="29005DFE" w:rsidR="006A2372" w:rsidRPr="006A7FD4" w:rsidRDefault="006A2372" w:rsidP="009556E2">
      <w:pPr>
        <w:tabs>
          <w:tab w:val="left" w:pos="330"/>
        </w:tabs>
        <w:spacing w:before="220" w:after="220" w:line="360" w:lineRule="auto"/>
        <w:jc w:val="both"/>
        <w:rPr>
          <w:rFonts w:eastAsia="仿宋_GB2312"/>
          <w:b/>
          <w:bCs/>
          <w:sz w:val="28"/>
          <w:szCs w:val="28"/>
          <w:lang w:val="en-US"/>
        </w:rPr>
      </w:pPr>
      <w:r w:rsidRPr="006A7FD4">
        <w:rPr>
          <w:rFonts w:eastAsia="仿宋_GB2312"/>
          <w:b/>
          <w:bCs/>
          <w:sz w:val="28"/>
          <w:szCs w:val="28"/>
          <w:lang w:val="en-US"/>
        </w:rPr>
        <w:t>WEST DAIRY</w:t>
      </w:r>
    </w:p>
    <w:p w14:paraId="26D1970E" w14:textId="76DCE4C4" w:rsidR="006A2372" w:rsidRDefault="007E1AED" w:rsidP="00460193">
      <w:pPr>
        <w:spacing w:line="360" w:lineRule="auto"/>
        <w:jc w:val="both"/>
        <w:rPr>
          <w:rFonts w:eastAsia="仿宋_GB2312"/>
          <w:bCs/>
          <w:sz w:val="28"/>
          <w:szCs w:val="28"/>
          <w:lang w:val="en-US"/>
        </w:rPr>
      </w:pPr>
      <w:r>
        <w:rPr>
          <w:rFonts w:eastAsia="仿宋_GB2312"/>
          <w:bCs/>
          <w:sz w:val="28"/>
          <w:szCs w:val="28"/>
          <w:lang w:val="en-US"/>
        </w:rPr>
        <w:t>A</w:t>
      </w:r>
      <w:r w:rsidR="00383023">
        <w:rPr>
          <w:rFonts w:eastAsia="仿宋_GB2312"/>
          <w:bCs/>
          <w:sz w:val="28"/>
          <w:szCs w:val="28"/>
          <w:lang w:val="en-US"/>
        </w:rPr>
        <w:t xml:space="preserve"> </w:t>
      </w:r>
      <w:r w:rsidR="000F5642">
        <w:rPr>
          <w:rFonts w:eastAsia="仿宋_GB2312"/>
          <w:bCs/>
          <w:sz w:val="28"/>
          <w:szCs w:val="28"/>
          <w:lang w:val="en-US"/>
        </w:rPr>
        <w:t xml:space="preserve">Chinese </w:t>
      </w:r>
      <w:r w:rsidR="008D33D7">
        <w:rPr>
          <w:rFonts w:eastAsia="仿宋_GB2312"/>
          <w:bCs/>
          <w:sz w:val="28"/>
          <w:szCs w:val="28"/>
          <w:lang w:val="en-US"/>
        </w:rPr>
        <w:t>entity</w:t>
      </w:r>
      <w:r w:rsidR="006A2372" w:rsidRPr="006A2372">
        <w:rPr>
          <w:rFonts w:eastAsia="仿宋_GB2312"/>
          <w:bCs/>
          <w:sz w:val="28"/>
          <w:szCs w:val="28"/>
          <w:lang w:val="en-US"/>
        </w:rPr>
        <w:t xml:space="preserve"> completed the acquisition of </w:t>
      </w:r>
      <w:r w:rsidR="00383023">
        <w:rPr>
          <w:rFonts w:eastAsia="仿宋_GB2312"/>
          <w:bCs/>
          <w:sz w:val="28"/>
          <w:szCs w:val="28"/>
          <w:lang w:val="en-US"/>
        </w:rPr>
        <w:t>1</w:t>
      </w:r>
      <w:r w:rsidR="006A2372" w:rsidRPr="006A2372">
        <w:rPr>
          <w:rFonts w:eastAsia="仿宋_GB2312"/>
          <w:bCs/>
          <w:sz w:val="28"/>
          <w:szCs w:val="28"/>
          <w:lang w:val="en-US"/>
        </w:rPr>
        <w:t xml:space="preserve">00% </w:t>
      </w:r>
      <w:r w:rsidR="00383023">
        <w:rPr>
          <w:rFonts w:eastAsia="仿宋_GB2312"/>
          <w:bCs/>
          <w:sz w:val="28"/>
          <w:szCs w:val="28"/>
          <w:lang w:val="en-US"/>
        </w:rPr>
        <w:t>of</w:t>
      </w:r>
      <w:r w:rsidR="006A2372" w:rsidRPr="006A2372">
        <w:rPr>
          <w:rFonts w:eastAsia="仿宋_GB2312"/>
          <w:bCs/>
          <w:sz w:val="28"/>
          <w:szCs w:val="28"/>
          <w:lang w:val="en-US"/>
        </w:rPr>
        <w:t xml:space="preserve"> </w:t>
      </w:r>
      <w:r w:rsidR="00383023">
        <w:rPr>
          <w:rFonts w:eastAsia="仿宋_GB2312"/>
          <w:bCs/>
          <w:sz w:val="28"/>
          <w:szCs w:val="28"/>
          <w:lang w:val="en-US"/>
        </w:rPr>
        <w:t>an Australian dairy entity, Western Dairy (</w:t>
      </w:r>
      <w:proofErr w:type="spellStart"/>
      <w:r w:rsidR="00383023">
        <w:rPr>
          <w:rFonts w:eastAsia="仿宋_GB2312"/>
          <w:bCs/>
          <w:sz w:val="28"/>
          <w:szCs w:val="28"/>
          <w:lang w:val="en-US"/>
        </w:rPr>
        <w:t>Brownes</w:t>
      </w:r>
      <w:proofErr w:type="spellEnd"/>
      <w:r w:rsidR="00383023">
        <w:rPr>
          <w:rFonts w:eastAsia="仿宋_GB2312"/>
          <w:bCs/>
          <w:sz w:val="28"/>
          <w:szCs w:val="28"/>
          <w:lang w:val="en-US"/>
        </w:rPr>
        <w:t>)</w:t>
      </w:r>
      <w:r w:rsidR="007026FA">
        <w:rPr>
          <w:rFonts w:eastAsia="仿宋_GB2312"/>
          <w:bCs/>
          <w:sz w:val="28"/>
          <w:szCs w:val="28"/>
          <w:lang w:val="en-US"/>
        </w:rPr>
        <w:t xml:space="preserve"> at the end of </w:t>
      </w:r>
      <w:r w:rsidR="000D4ACE">
        <w:rPr>
          <w:rFonts w:eastAsia="仿宋_GB2312"/>
          <w:bCs/>
          <w:sz w:val="28"/>
          <w:szCs w:val="28"/>
          <w:lang w:val="en-US"/>
        </w:rPr>
        <w:t>2017</w:t>
      </w:r>
      <w:r w:rsidR="000F5642">
        <w:rPr>
          <w:rFonts w:eastAsia="仿宋_GB2312"/>
          <w:bCs/>
          <w:sz w:val="28"/>
          <w:szCs w:val="28"/>
          <w:lang w:val="en-US"/>
        </w:rPr>
        <w:t xml:space="preserve"> through an offshore </w:t>
      </w:r>
      <w:r w:rsidR="008D33D7">
        <w:rPr>
          <w:rFonts w:eastAsia="仿宋_GB2312"/>
          <w:bCs/>
          <w:sz w:val="28"/>
          <w:szCs w:val="28"/>
          <w:lang w:val="en-US"/>
        </w:rPr>
        <w:t>vehicle</w:t>
      </w:r>
      <w:r w:rsidR="000F5642">
        <w:rPr>
          <w:rFonts w:eastAsia="仿宋_GB2312"/>
          <w:bCs/>
          <w:sz w:val="28"/>
          <w:szCs w:val="28"/>
          <w:lang w:val="en-US"/>
        </w:rPr>
        <w:t xml:space="preserve"> with offshore funding</w:t>
      </w:r>
      <w:r w:rsidR="006A2372" w:rsidRPr="006A2372">
        <w:rPr>
          <w:rFonts w:eastAsia="仿宋_GB2312"/>
          <w:bCs/>
          <w:sz w:val="28"/>
          <w:szCs w:val="28"/>
          <w:lang w:val="en-US"/>
        </w:rPr>
        <w:t xml:space="preserve">. </w:t>
      </w:r>
      <w:r w:rsidR="000F5642">
        <w:rPr>
          <w:rFonts w:eastAsia="仿宋_GB2312"/>
          <w:bCs/>
          <w:sz w:val="28"/>
          <w:szCs w:val="28"/>
          <w:lang w:val="en-US"/>
        </w:rPr>
        <w:t>Following the closing of the acquisition, t</w:t>
      </w:r>
      <w:r w:rsidR="000F5642" w:rsidRPr="006A2372">
        <w:rPr>
          <w:rFonts w:eastAsia="仿宋_GB2312"/>
          <w:bCs/>
          <w:sz w:val="28"/>
          <w:szCs w:val="28"/>
          <w:lang w:val="en-US"/>
        </w:rPr>
        <w:t xml:space="preserve">he </w:t>
      </w:r>
      <w:r w:rsidR="008D33D7">
        <w:rPr>
          <w:rFonts w:eastAsia="仿宋_GB2312"/>
          <w:bCs/>
          <w:sz w:val="28"/>
          <w:szCs w:val="28"/>
          <w:lang w:val="en-US"/>
        </w:rPr>
        <w:t>offshore</w:t>
      </w:r>
      <w:r w:rsidR="00B81E63">
        <w:rPr>
          <w:rFonts w:eastAsia="仿宋_GB2312"/>
          <w:bCs/>
          <w:sz w:val="28"/>
          <w:szCs w:val="28"/>
          <w:lang w:val="en-US"/>
        </w:rPr>
        <w:t xml:space="preserve"> </w:t>
      </w:r>
      <w:r w:rsidR="008D33D7">
        <w:rPr>
          <w:rFonts w:eastAsia="仿宋_GB2312"/>
          <w:bCs/>
          <w:sz w:val="28"/>
          <w:szCs w:val="28"/>
          <w:lang w:val="en-US"/>
        </w:rPr>
        <w:t>vehicle</w:t>
      </w:r>
      <w:r w:rsidR="00B81E63">
        <w:rPr>
          <w:rFonts w:eastAsia="仿宋_GB2312"/>
          <w:bCs/>
          <w:sz w:val="28"/>
          <w:szCs w:val="28"/>
          <w:lang w:val="en-US"/>
        </w:rPr>
        <w:t xml:space="preserve"> </w:t>
      </w:r>
      <w:r w:rsidR="008D33D7">
        <w:rPr>
          <w:rFonts w:eastAsia="仿宋_GB2312"/>
          <w:bCs/>
          <w:sz w:val="28"/>
          <w:szCs w:val="28"/>
          <w:lang w:val="en-US"/>
        </w:rPr>
        <w:t>transferred its equity in the target company to</w:t>
      </w:r>
      <w:r w:rsidR="006A2372" w:rsidRPr="006A2372">
        <w:rPr>
          <w:rFonts w:eastAsia="仿宋_GB2312"/>
          <w:bCs/>
          <w:sz w:val="28"/>
          <w:szCs w:val="28"/>
          <w:lang w:val="en-US"/>
        </w:rPr>
        <w:t xml:space="preserve"> a</w:t>
      </w:r>
      <w:r w:rsidR="00B7536B">
        <w:rPr>
          <w:rFonts w:eastAsia="仿宋_GB2312"/>
          <w:bCs/>
          <w:sz w:val="28"/>
          <w:szCs w:val="28"/>
          <w:lang w:val="en-US"/>
        </w:rPr>
        <w:t>n</w:t>
      </w:r>
      <w:r w:rsidR="006A2372" w:rsidRPr="006A2372">
        <w:rPr>
          <w:rFonts w:eastAsia="仿宋_GB2312"/>
          <w:bCs/>
          <w:sz w:val="28"/>
          <w:szCs w:val="28"/>
          <w:lang w:val="en-US"/>
        </w:rPr>
        <w:t xml:space="preserve"> </w:t>
      </w:r>
      <w:r w:rsidR="007026FA">
        <w:rPr>
          <w:rFonts w:eastAsia="仿宋_GB2312"/>
          <w:bCs/>
          <w:sz w:val="28"/>
          <w:szCs w:val="28"/>
          <w:lang w:val="en-US"/>
        </w:rPr>
        <w:t xml:space="preserve">onshore fund. </w:t>
      </w:r>
      <w:r w:rsidR="00B81E63">
        <w:rPr>
          <w:rFonts w:eastAsia="仿宋_GB2312"/>
          <w:bCs/>
          <w:sz w:val="28"/>
          <w:szCs w:val="28"/>
          <w:lang w:val="en-US"/>
        </w:rPr>
        <w:t xml:space="preserve">BHR </w:t>
      </w:r>
      <w:r w:rsidR="006A2372" w:rsidRPr="006A2372">
        <w:rPr>
          <w:rFonts w:eastAsia="仿宋_GB2312"/>
          <w:bCs/>
          <w:sz w:val="28"/>
          <w:szCs w:val="28"/>
          <w:lang w:val="en-US"/>
        </w:rPr>
        <w:t xml:space="preserve">introduced China Aviation Trust as a </w:t>
      </w:r>
      <w:r w:rsidR="00B81E63">
        <w:rPr>
          <w:rFonts w:eastAsia="仿宋_GB2312"/>
          <w:bCs/>
          <w:sz w:val="28"/>
          <w:szCs w:val="28"/>
          <w:lang w:val="en-US"/>
        </w:rPr>
        <w:t>preferred</w:t>
      </w:r>
      <w:r w:rsidR="00B81E63" w:rsidRPr="006A2372">
        <w:rPr>
          <w:rFonts w:eastAsia="仿宋_GB2312"/>
          <w:bCs/>
          <w:sz w:val="28"/>
          <w:szCs w:val="28"/>
          <w:lang w:val="en-US"/>
        </w:rPr>
        <w:t xml:space="preserve"> </w:t>
      </w:r>
      <w:r w:rsidR="006A2372" w:rsidRPr="006A2372">
        <w:rPr>
          <w:rFonts w:eastAsia="仿宋_GB2312"/>
          <w:bCs/>
          <w:sz w:val="28"/>
          <w:szCs w:val="28"/>
          <w:lang w:val="en-US"/>
        </w:rPr>
        <w:t xml:space="preserve">investor </w:t>
      </w:r>
      <w:r w:rsidR="00B81E63">
        <w:rPr>
          <w:rFonts w:eastAsia="仿宋_GB2312"/>
          <w:bCs/>
          <w:sz w:val="28"/>
          <w:szCs w:val="28"/>
          <w:lang w:val="en-US"/>
        </w:rPr>
        <w:t>to</w:t>
      </w:r>
      <w:r w:rsidR="00B81E63" w:rsidRPr="006A2372">
        <w:rPr>
          <w:rFonts w:eastAsia="仿宋_GB2312"/>
          <w:bCs/>
          <w:sz w:val="28"/>
          <w:szCs w:val="28"/>
          <w:lang w:val="en-US"/>
        </w:rPr>
        <w:t xml:space="preserve"> </w:t>
      </w:r>
      <w:r w:rsidR="006A2372" w:rsidRPr="006A2372">
        <w:rPr>
          <w:rFonts w:eastAsia="仿宋_GB2312"/>
          <w:bCs/>
          <w:sz w:val="28"/>
          <w:szCs w:val="28"/>
          <w:lang w:val="en-US"/>
        </w:rPr>
        <w:t xml:space="preserve">the </w:t>
      </w:r>
      <w:r w:rsidR="00B81E63">
        <w:rPr>
          <w:rFonts w:eastAsia="仿宋_GB2312"/>
          <w:bCs/>
          <w:sz w:val="28"/>
          <w:szCs w:val="28"/>
          <w:lang w:val="en-US"/>
        </w:rPr>
        <w:t xml:space="preserve">onshore </w:t>
      </w:r>
      <w:r w:rsidR="006A2372" w:rsidRPr="006A2372">
        <w:rPr>
          <w:rFonts w:eastAsia="仿宋_GB2312"/>
          <w:bCs/>
          <w:sz w:val="28"/>
          <w:szCs w:val="28"/>
          <w:lang w:val="en-US"/>
        </w:rPr>
        <w:t>fund</w:t>
      </w:r>
      <w:r w:rsidR="00F6665F">
        <w:rPr>
          <w:rFonts w:eastAsia="仿宋_GB2312"/>
          <w:bCs/>
          <w:sz w:val="28"/>
          <w:szCs w:val="28"/>
          <w:lang w:val="en-US"/>
        </w:rPr>
        <w:t xml:space="preserve">, in return for which, BHR will receive </w:t>
      </w:r>
      <w:r w:rsidR="006A2372" w:rsidRPr="006A2372">
        <w:rPr>
          <w:rFonts w:eastAsia="仿宋_GB2312"/>
          <w:bCs/>
          <w:sz w:val="28"/>
          <w:szCs w:val="28"/>
          <w:lang w:val="en-US"/>
        </w:rPr>
        <w:t xml:space="preserve">an annual fee of </w:t>
      </w:r>
      <w:r w:rsidR="00B7536B">
        <w:rPr>
          <w:rFonts w:eastAsia="仿宋_GB2312"/>
          <w:bCs/>
          <w:sz w:val="28"/>
          <w:szCs w:val="28"/>
          <w:lang w:val="en-US"/>
        </w:rPr>
        <w:t xml:space="preserve">RMB </w:t>
      </w:r>
      <w:r w:rsidR="006A2372" w:rsidRPr="006A2372">
        <w:rPr>
          <w:rFonts w:eastAsia="仿宋_GB2312"/>
          <w:bCs/>
          <w:sz w:val="28"/>
          <w:szCs w:val="28"/>
          <w:lang w:val="en-US"/>
        </w:rPr>
        <w:t>4.05 million.</w:t>
      </w:r>
      <w:r w:rsidR="00F6665F">
        <w:rPr>
          <w:rFonts w:eastAsia="仿宋_GB2312"/>
          <w:bCs/>
          <w:sz w:val="28"/>
          <w:szCs w:val="28"/>
          <w:lang w:val="en-US"/>
        </w:rPr>
        <w:t xml:space="preserve"> The onshore structure has closed and BHR has received its first annual fee. </w:t>
      </w:r>
    </w:p>
    <w:p w14:paraId="46F674DD" w14:textId="1341192F" w:rsidR="006A2372" w:rsidRPr="006A7FD4" w:rsidRDefault="006A2372" w:rsidP="009556E2">
      <w:pPr>
        <w:tabs>
          <w:tab w:val="left" w:pos="330"/>
        </w:tabs>
        <w:spacing w:before="220" w:after="220" w:line="360" w:lineRule="auto"/>
        <w:jc w:val="both"/>
        <w:rPr>
          <w:rFonts w:eastAsia="仿宋_GB2312"/>
          <w:b/>
          <w:bCs/>
          <w:sz w:val="28"/>
          <w:szCs w:val="28"/>
          <w:lang w:val="en-US"/>
        </w:rPr>
      </w:pPr>
      <w:r w:rsidRPr="00FA2B7E">
        <w:rPr>
          <w:rFonts w:eastAsia="仿宋_GB2312"/>
          <w:b/>
          <w:bCs/>
          <w:sz w:val="28"/>
          <w:szCs w:val="28"/>
          <w:lang w:val="en-US"/>
        </w:rPr>
        <w:t xml:space="preserve">V. Blind Pool </w:t>
      </w:r>
    </w:p>
    <w:p w14:paraId="48E3B95E" w14:textId="121427DA" w:rsidR="006A2372" w:rsidRPr="000D4ACE" w:rsidRDefault="00CA54B6" w:rsidP="009A2AEF">
      <w:pPr>
        <w:spacing w:line="360" w:lineRule="auto"/>
        <w:jc w:val="both"/>
        <w:rPr>
          <w:rFonts w:eastAsia="仿宋_GB2312"/>
          <w:bCs/>
          <w:sz w:val="28"/>
          <w:szCs w:val="28"/>
          <w:lang w:val="en-US"/>
        </w:rPr>
      </w:pPr>
      <w:r>
        <w:rPr>
          <w:rFonts w:eastAsia="仿宋_GB2312"/>
          <w:bCs/>
          <w:sz w:val="28"/>
          <w:szCs w:val="28"/>
          <w:lang w:val="en-US"/>
        </w:rPr>
        <w:t>T</w:t>
      </w:r>
      <w:r w:rsidR="00276A14">
        <w:rPr>
          <w:rFonts w:eastAsia="仿宋_GB2312"/>
          <w:bCs/>
          <w:sz w:val="28"/>
          <w:szCs w:val="28"/>
          <w:lang w:val="en-US"/>
        </w:rPr>
        <w:t>he C</w:t>
      </w:r>
      <w:r w:rsidR="006A2372" w:rsidRPr="006A2372">
        <w:rPr>
          <w:rFonts w:eastAsia="仿宋_GB2312"/>
          <w:bCs/>
          <w:sz w:val="28"/>
          <w:szCs w:val="28"/>
          <w:lang w:val="en-US"/>
        </w:rPr>
        <w:t xml:space="preserve">ompany </w:t>
      </w:r>
      <w:r>
        <w:rPr>
          <w:rFonts w:eastAsia="仿宋_GB2312"/>
          <w:bCs/>
          <w:sz w:val="28"/>
          <w:szCs w:val="28"/>
          <w:lang w:val="en-US"/>
        </w:rPr>
        <w:t xml:space="preserve">continues with its efforts to raise discretionary capital in 2018.  We are </w:t>
      </w:r>
      <w:r w:rsidRPr="006A2372">
        <w:rPr>
          <w:rFonts w:eastAsia="仿宋_GB2312"/>
          <w:bCs/>
          <w:sz w:val="28"/>
          <w:szCs w:val="28"/>
          <w:lang w:val="en-US"/>
        </w:rPr>
        <w:t>reach</w:t>
      </w:r>
      <w:r>
        <w:rPr>
          <w:rFonts w:eastAsia="仿宋_GB2312"/>
          <w:bCs/>
          <w:sz w:val="28"/>
          <w:szCs w:val="28"/>
          <w:lang w:val="en-US"/>
        </w:rPr>
        <w:t>ing</w:t>
      </w:r>
      <w:r w:rsidRPr="006A2372">
        <w:rPr>
          <w:rFonts w:eastAsia="仿宋_GB2312"/>
          <w:bCs/>
          <w:sz w:val="28"/>
          <w:szCs w:val="28"/>
          <w:lang w:val="en-US"/>
        </w:rPr>
        <w:t xml:space="preserve"> </w:t>
      </w:r>
      <w:r w:rsidR="006A2372" w:rsidRPr="006A2372">
        <w:rPr>
          <w:rFonts w:eastAsia="仿宋_GB2312"/>
          <w:bCs/>
          <w:sz w:val="28"/>
          <w:szCs w:val="28"/>
          <w:lang w:val="en-US"/>
        </w:rPr>
        <w:t xml:space="preserve">out to a wider range of </w:t>
      </w:r>
      <w:r>
        <w:rPr>
          <w:rFonts w:eastAsia="仿宋_GB2312"/>
          <w:bCs/>
          <w:sz w:val="28"/>
          <w:szCs w:val="28"/>
          <w:lang w:val="en-US"/>
        </w:rPr>
        <w:t xml:space="preserve">potential investors including </w:t>
      </w:r>
      <w:r w:rsidR="001013DA">
        <w:rPr>
          <w:rFonts w:eastAsia="仿宋_GB2312"/>
          <w:bCs/>
          <w:sz w:val="28"/>
          <w:szCs w:val="28"/>
          <w:lang w:val="en-US"/>
        </w:rPr>
        <w:t xml:space="preserve">fund of funds </w:t>
      </w:r>
      <w:r w:rsidR="006A2372" w:rsidRPr="006A2372">
        <w:rPr>
          <w:rFonts w:eastAsia="仿宋_GB2312"/>
          <w:bCs/>
          <w:sz w:val="28"/>
          <w:szCs w:val="28"/>
          <w:lang w:val="en-US"/>
        </w:rPr>
        <w:t xml:space="preserve">and </w:t>
      </w:r>
      <w:r w:rsidR="00276A14">
        <w:rPr>
          <w:rFonts w:eastAsia="仿宋_GB2312"/>
          <w:bCs/>
          <w:sz w:val="28"/>
          <w:szCs w:val="28"/>
          <w:lang w:val="en-US"/>
        </w:rPr>
        <w:t>government guidance funds</w:t>
      </w:r>
      <w:r w:rsidR="006A2372" w:rsidRPr="006A2372">
        <w:rPr>
          <w:rFonts w:eastAsia="仿宋_GB2312"/>
          <w:bCs/>
          <w:sz w:val="28"/>
          <w:szCs w:val="28"/>
          <w:lang w:val="en-US"/>
        </w:rPr>
        <w:t xml:space="preserve">. </w:t>
      </w:r>
      <w:r w:rsidR="001013DA">
        <w:rPr>
          <w:rFonts w:eastAsia="仿宋_GB2312"/>
          <w:bCs/>
          <w:sz w:val="28"/>
          <w:szCs w:val="28"/>
          <w:lang w:val="en-US"/>
        </w:rPr>
        <w:t>Among s</w:t>
      </w:r>
      <w:r w:rsidR="006A2372" w:rsidRPr="006A2372">
        <w:rPr>
          <w:rFonts w:eastAsia="仿宋_GB2312"/>
          <w:bCs/>
          <w:sz w:val="28"/>
          <w:szCs w:val="28"/>
          <w:lang w:val="en-US"/>
        </w:rPr>
        <w:t>ev</w:t>
      </w:r>
      <w:r w:rsidR="00276A14">
        <w:rPr>
          <w:rFonts w:eastAsia="仿宋_GB2312"/>
          <w:bCs/>
          <w:sz w:val="28"/>
          <w:szCs w:val="28"/>
          <w:lang w:val="en-US"/>
        </w:rPr>
        <w:t>eral funds being raised by the C</w:t>
      </w:r>
      <w:r w:rsidR="006A2372" w:rsidRPr="006A2372">
        <w:rPr>
          <w:rFonts w:eastAsia="仿宋_GB2312"/>
          <w:bCs/>
          <w:sz w:val="28"/>
          <w:szCs w:val="28"/>
          <w:lang w:val="en-US"/>
        </w:rPr>
        <w:t xml:space="preserve">ompany, </w:t>
      </w:r>
      <w:r w:rsidR="00276A14">
        <w:rPr>
          <w:rFonts w:eastAsia="仿宋_GB2312"/>
          <w:bCs/>
          <w:sz w:val="28"/>
          <w:szCs w:val="28"/>
          <w:lang w:val="en-US"/>
        </w:rPr>
        <w:t xml:space="preserve">funding from </w:t>
      </w:r>
      <w:r w:rsidR="006A2372" w:rsidRPr="006A2372">
        <w:rPr>
          <w:rFonts w:eastAsia="仿宋_GB2312"/>
          <w:bCs/>
          <w:sz w:val="28"/>
          <w:szCs w:val="28"/>
          <w:lang w:val="en-US"/>
        </w:rPr>
        <w:t xml:space="preserve">government-funded or </w:t>
      </w:r>
      <w:r w:rsidR="006A2372" w:rsidRPr="006A2372">
        <w:rPr>
          <w:rFonts w:eastAsia="仿宋_GB2312"/>
          <w:bCs/>
          <w:sz w:val="28"/>
          <w:szCs w:val="28"/>
          <w:lang w:val="en-US"/>
        </w:rPr>
        <w:lastRenderedPageBreak/>
        <w:t>cornerstone i</w:t>
      </w:r>
      <w:r w:rsidR="00276A14">
        <w:rPr>
          <w:rFonts w:eastAsia="仿宋_GB2312"/>
          <w:bCs/>
          <w:sz w:val="28"/>
          <w:szCs w:val="28"/>
          <w:lang w:val="en-US"/>
        </w:rPr>
        <w:t xml:space="preserve">nvestors has </w:t>
      </w:r>
      <w:r w:rsidR="001013DA">
        <w:rPr>
          <w:rFonts w:eastAsia="仿宋_GB2312"/>
          <w:bCs/>
          <w:sz w:val="28"/>
          <w:szCs w:val="28"/>
          <w:lang w:val="en-US"/>
        </w:rPr>
        <w:t xml:space="preserve">been </w:t>
      </w:r>
      <w:r w:rsidR="00017CF6">
        <w:rPr>
          <w:rFonts w:eastAsia="仿宋_GB2312"/>
          <w:bCs/>
          <w:sz w:val="28"/>
          <w:szCs w:val="28"/>
          <w:lang w:val="en-US"/>
        </w:rPr>
        <w:t>conditionally committed</w:t>
      </w:r>
      <w:r w:rsidR="001013DA">
        <w:rPr>
          <w:rFonts w:eastAsia="仿宋_GB2312"/>
          <w:bCs/>
          <w:sz w:val="28"/>
          <w:szCs w:val="28"/>
          <w:lang w:val="en-US"/>
        </w:rPr>
        <w:t>. However, raising funds from private capital remains</w:t>
      </w:r>
      <w:r w:rsidR="00FC0C56">
        <w:rPr>
          <w:rFonts w:eastAsia="仿宋_GB2312"/>
          <w:bCs/>
          <w:sz w:val="28"/>
          <w:szCs w:val="28"/>
          <w:lang w:val="en-US"/>
        </w:rPr>
        <w:t xml:space="preserve"> challenging</w:t>
      </w:r>
      <w:r w:rsidR="006A2372" w:rsidRPr="006A2372">
        <w:rPr>
          <w:rFonts w:eastAsia="仿宋_GB2312"/>
          <w:bCs/>
          <w:sz w:val="28"/>
          <w:szCs w:val="28"/>
          <w:lang w:val="en-US"/>
        </w:rPr>
        <w:t>.</w:t>
      </w:r>
      <w:r w:rsidR="000D4ACE" w:rsidRPr="009A2AEF">
        <w:rPr>
          <w:rFonts w:eastAsia="仿宋_GB2312" w:hint="eastAsia"/>
          <w:bCs/>
          <w:sz w:val="28"/>
          <w:szCs w:val="28"/>
          <w:lang w:val="en-US"/>
        </w:rPr>
        <w:t xml:space="preserve"> </w:t>
      </w:r>
    </w:p>
    <w:p w14:paraId="2505199D" w14:textId="54FE5FE1" w:rsidR="00E0653B" w:rsidRPr="00CB57C5" w:rsidRDefault="005712DD" w:rsidP="00E0653B">
      <w:pPr>
        <w:tabs>
          <w:tab w:val="left" w:pos="330"/>
        </w:tabs>
        <w:spacing w:before="220" w:after="220" w:line="360" w:lineRule="auto"/>
        <w:jc w:val="both"/>
        <w:rPr>
          <w:rFonts w:eastAsia="仿宋_GB2312"/>
          <w:b/>
          <w:bCs/>
          <w:sz w:val="28"/>
          <w:szCs w:val="28"/>
        </w:rPr>
      </w:pPr>
      <w:r w:rsidRPr="000218D7">
        <w:rPr>
          <w:rFonts w:eastAsia="仿宋_GB2312"/>
          <w:b/>
          <w:bCs/>
          <w:sz w:val="28"/>
          <w:szCs w:val="28"/>
          <w:lang w:val="en-US"/>
        </w:rPr>
        <w:t>INTELLIGENT TRANSPORTATION FUND</w:t>
      </w:r>
    </w:p>
    <w:p w14:paraId="32AB075B" w14:textId="7C5FCB69" w:rsidR="005712DD" w:rsidRDefault="005712DD" w:rsidP="009A2AEF">
      <w:pPr>
        <w:spacing w:line="360" w:lineRule="auto"/>
        <w:jc w:val="both"/>
        <w:rPr>
          <w:rFonts w:eastAsia="仿宋_GB2312"/>
          <w:bCs/>
          <w:sz w:val="28"/>
          <w:szCs w:val="28"/>
          <w:lang w:val="en-US"/>
        </w:rPr>
      </w:pPr>
      <w:r w:rsidRPr="005712DD">
        <w:rPr>
          <w:rFonts w:eastAsia="仿宋_GB2312"/>
          <w:bCs/>
          <w:sz w:val="28"/>
          <w:szCs w:val="28"/>
          <w:lang w:val="en-US"/>
        </w:rPr>
        <w:t xml:space="preserve">Due to the </w:t>
      </w:r>
      <w:r w:rsidR="004B0501">
        <w:rPr>
          <w:rFonts w:eastAsia="仿宋_GB2312"/>
          <w:bCs/>
          <w:sz w:val="28"/>
          <w:szCs w:val="28"/>
          <w:lang w:val="en-US"/>
        </w:rPr>
        <w:t>challenges</w:t>
      </w:r>
      <w:r w:rsidR="004B0501" w:rsidRPr="005712DD">
        <w:rPr>
          <w:rFonts w:eastAsia="仿宋_GB2312"/>
          <w:bCs/>
          <w:sz w:val="28"/>
          <w:szCs w:val="28"/>
          <w:lang w:val="en-US"/>
        </w:rPr>
        <w:t xml:space="preserve"> </w:t>
      </w:r>
      <w:r w:rsidRPr="005712DD">
        <w:rPr>
          <w:rFonts w:eastAsia="仿宋_GB2312"/>
          <w:bCs/>
          <w:sz w:val="28"/>
          <w:szCs w:val="28"/>
          <w:lang w:val="en-US"/>
        </w:rPr>
        <w:t xml:space="preserve">of overseas mergers and acquisitions, the </w:t>
      </w:r>
      <w:r w:rsidR="001A6418">
        <w:rPr>
          <w:rFonts w:eastAsia="仿宋_GB2312"/>
          <w:bCs/>
          <w:sz w:val="28"/>
          <w:szCs w:val="28"/>
          <w:lang w:val="en-US"/>
        </w:rPr>
        <w:t xml:space="preserve">Intelligent </w:t>
      </w:r>
      <w:r w:rsidRPr="005712DD">
        <w:rPr>
          <w:rFonts w:eastAsia="仿宋_GB2312"/>
          <w:bCs/>
          <w:sz w:val="28"/>
          <w:szCs w:val="28"/>
          <w:lang w:val="en-US"/>
        </w:rPr>
        <w:t>Transportation Fun</w:t>
      </w:r>
      <w:r w:rsidR="00FB12DC">
        <w:rPr>
          <w:rFonts w:eastAsia="仿宋_GB2312"/>
          <w:bCs/>
          <w:sz w:val="28"/>
          <w:szCs w:val="28"/>
          <w:lang w:val="en-US"/>
        </w:rPr>
        <w:t>d</w:t>
      </w:r>
      <w:r w:rsidR="004B0501">
        <w:rPr>
          <w:rFonts w:eastAsia="仿宋_GB2312"/>
          <w:bCs/>
          <w:sz w:val="28"/>
          <w:szCs w:val="28"/>
          <w:lang w:val="en-US"/>
        </w:rPr>
        <w:t xml:space="preserve"> has brought in</w:t>
      </w:r>
      <w:r w:rsidR="00FB12DC">
        <w:rPr>
          <w:rFonts w:eastAsia="仿宋_GB2312"/>
          <w:bCs/>
          <w:sz w:val="28"/>
          <w:szCs w:val="28"/>
          <w:lang w:val="en-US"/>
        </w:rPr>
        <w:t xml:space="preserve"> the</w:t>
      </w:r>
      <w:r w:rsidR="001A6418">
        <w:rPr>
          <w:rFonts w:eastAsia="仿宋_GB2312"/>
          <w:bCs/>
          <w:sz w:val="28"/>
          <w:szCs w:val="28"/>
          <w:lang w:val="en-US"/>
        </w:rPr>
        <w:t xml:space="preserve"> Guangdong provincial government p</w:t>
      </w:r>
      <w:r w:rsidRPr="005712DD">
        <w:rPr>
          <w:rFonts w:eastAsia="仿宋_GB2312"/>
          <w:bCs/>
          <w:sz w:val="28"/>
          <w:szCs w:val="28"/>
          <w:lang w:val="en-US"/>
        </w:rPr>
        <w:t>latform</w:t>
      </w:r>
      <w:r w:rsidR="001A6418">
        <w:rPr>
          <w:rFonts w:eastAsia="仿宋_GB2312"/>
          <w:bCs/>
          <w:sz w:val="28"/>
          <w:szCs w:val="28"/>
          <w:lang w:val="en-US"/>
        </w:rPr>
        <w:t xml:space="preserve"> company</w:t>
      </w:r>
      <w:r w:rsidR="004B0501">
        <w:rPr>
          <w:rFonts w:eastAsia="仿宋_GB2312"/>
          <w:bCs/>
          <w:sz w:val="28"/>
          <w:szCs w:val="28"/>
          <w:lang w:val="en-US"/>
        </w:rPr>
        <w:t xml:space="preserve"> -</w:t>
      </w:r>
      <w:r w:rsidR="004B0501" w:rsidRPr="005712DD">
        <w:rPr>
          <w:rFonts w:eastAsia="仿宋_GB2312"/>
          <w:bCs/>
          <w:sz w:val="28"/>
          <w:szCs w:val="28"/>
          <w:lang w:val="en-US"/>
        </w:rPr>
        <w:t xml:space="preserve"> </w:t>
      </w:r>
      <w:r w:rsidRPr="005712DD">
        <w:rPr>
          <w:rFonts w:eastAsia="仿宋_GB2312"/>
          <w:bCs/>
          <w:sz w:val="28"/>
          <w:szCs w:val="28"/>
          <w:lang w:val="en-US"/>
        </w:rPr>
        <w:t xml:space="preserve">Guangdong </w:t>
      </w:r>
      <w:proofErr w:type="spellStart"/>
      <w:r w:rsidRPr="005712DD">
        <w:rPr>
          <w:rFonts w:eastAsia="仿宋_GB2312"/>
          <w:bCs/>
          <w:sz w:val="28"/>
          <w:szCs w:val="28"/>
          <w:lang w:val="en-US"/>
        </w:rPr>
        <w:t>Hengjian</w:t>
      </w:r>
      <w:proofErr w:type="spellEnd"/>
      <w:r w:rsidRPr="005712DD">
        <w:rPr>
          <w:rFonts w:eastAsia="仿宋_GB2312"/>
          <w:bCs/>
          <w:sz w:val="28"/>
          <w:szCs w:val="28"/>
          <w:lang w:val="en-US"/>
        </w:rPr>
        <w:t xml:space="preserve"> Group, as </w:t>
      </w:r>
      <w:r w:rsidR="004B0501">
        <w:rPr>
          <w:rFonts w:eastAsia="仿宋_GB2312"/>
          <w:bCs/>
          <w:sz w:val="28"/>
          <w:szCs w:val="28"/>
          <w:lang w:val="en-US"/>
        </w:rPr>
        <w:t>a</w:t>
      </w:r>
      <w:r w:rsidR="004B0501" w:rsidRPr="005712DD">
        <w:rPr>
          <w:rFonts w:eastAsia="仿宋_GB2312"/>
          <w:bCs/>
          <w:sz w:val="28"/>
          <w:szCs w:val="28"/>
          <w:lang w:val="en-US"/>
        </w:rPr>
        <w:t xml:space="preserve"> </w:t>
      </w:r>
      <w:r w:rsidRPr="005712DD">
        <w:rPr>
          <w:rFonts w:eastAsia="仿宋_GB2312"/>
          <w:bCs/>
          <w:sz w:val="28"/>
          <w:szCs w:val="28"/>
          <w:lang w:val="en-US"/>
        </w:rPr>
        <w:t xml:space="preserve">partner. The </w:t>
      </w:r>
      <w:r w:rsidR="004B0501">
        <w:rPr>
          <w:rFonts w:eastAsia="仿宋_GB2312"/>
          <w:bCs/>
          <w:sz w:val="28"/>
          <w:szCs w:val="28"/>
          <w:lang w:val="en-US"/>
        </w:rPr>
        <w:t>original</w:t>
      </w:r>
      <w:r w:rsidR="004B0501" w:rsidRPr="005712DD">
        <w:rPr>
          <w:rFonts w:eastAsia="仿宋_GB2312"/>
          <w:bCs/>
          <w:sz w:val="28"/>
          <w:szCs w:val="28"/>
          <w:lang w:val="en-US"/>
        </w:rPr>
        <w:t xml:space="preserve"> </w:t>
      </w:r>
      <w:r w:rsidRPr="005712DD">
        <w:rPr>
          <w:rFonts w:eastAsia="仿宋_GB2312"/>
          <w:bCs/>
          <w:sz w:val="28"/>
          <w:szCs w:val="28"/>
          <w:lang w:val="en-US"/>
        </w:rPr>
        <w:t xml:space="preserve">partner Shenzhen </w:t>
      </w:r>
      <w:proofErr w:type="spellStart"/>
      <w:r w:rsidRPr="005712DD">
        <w:rPr>
          <w:rFonts w:eastAsia="仿宋_GB2312"/>
          <w:bCs/>
          <w:sz w:val="28"/>
          <w:szCs w:val="28"/>
          <w:lang w:val="en-US"/>
        </w:rPr>
        <w:t>Qianhai</w:t>
      </w:r>
      <w:proofErr w:type="spellEnd"/>
      <w:r w:rsidRPr="005712DD">
        <w:rPr>
          <w:rFonts w:eastAsia="仿宋_GB2312"/>
          <w:bCs/>
          <w:sz w:val="28"/>
          <w:szCs w:val="28"/>
          <w:lang w:val="en-US"/>
        </w:rPr>
        <w:t xml:space="preserve"> </w:t>
      </w:r>
      <w:r w:rsidR="004B0501">
        <w:rPr>
          <w:rFonts w:eastAsia="仿宋_GB2312"/>
          <w:bCs/>
          <w:sz w:val="28"/>
          <w:szCs w:val="28"/>
          <w:lang w:val="en-US"/>
        </w:rPr>
        <w:t xml:space="preserve">Financial </w:t>
      </w:r>
      <w:r w:rsidRPr="005712DD">
        <w:rPr>
          <w:rFonts w:eastAsia="仿宋_GB2312"/>
          <w:bCs/>
          <w:sz w:val="28"/>
          <w:szCs w:val="28"/>
          <w:lang w:val="en-US"/>
        </w:rPr>
        <w:t xml:space="preserve">will continue to act as the </w:t>
      </w:r>
      <w:r w:rsidR="004B0501">
        <w:rPr>
          <w:rFonts w:eastAsia="仿宋_GB2312"/>
          <w:bCs/>
          <w:sz w:val="28"/>
          <w:szCs w:val="28"/>
          <w:lang w:val="en-US"/>
        </w:rPr>
        <w:t>F</w:t>
      </w:r>
      <w:r w:rsidR="004B0501" w:rsidRPr="005712DD">
        <w:rPr>
          <w:rFonts w:eastAsia="仿宋_GB2312"/>
          <w:bCs/>
          <w:sz w:val="28"/>
          <w:szCs w:val="28"/>
          <w:lang w:val="en-US"/>
        </w:rPr>
        <w:t xml:space="preserve">und's </w:t>
      </w:r>
      <w:r w:rsidRPr="005712DD">
        <w:rPr>
          <w:rFonts w:eastAsia="仿宋_GB2312"/>
          <w:bCs/>
          <w:sz w:val="28"/>
          <w:szCs w:val="28"/>
          <w:lang w:val="en-US"/>
        </w:rPr>
        <w:t xml:space="preserve">co-sponsor. The </w:t>
      </w:r>
      <w:r w:rsidR="004B0501">
        <w:rPr>
          <w:rFonts w:eastAsia="仿宋_GB2312"/>
          <w:bCs/>
          <w:sz w:val="28"/>
          <w:szCs w:val="28"/>
          <w:lang w:val="en-US"/>
        </w:rPr>
        <w:t xml:space="preserve">Fund </w:t>
      </w:r>
      <w:r w:rsidR="001A6418">
        <w:rPr>
          <w:rFonts w:eastAsia="仿宋_GB2312"/>
          <w:bCs/>
          <w:sz w:val="28"/>
          <w:szCs w:val="28"/>
          <w:lang w:val="en-US"/>
        </w:rPr>
        <w:t xml:space="preserve">will rely on the national-level promotion of “The Great Bay Area of </w:t>
      </w:r>
      <w:r w:rsidRPr="005712DD">
        <w:rPr>
          <w:rFonts w:eastAsia="仿宋_GB2312"/>
          <w:bCs/>
          <w:sz w:val="28"/>
          <w:szCs w:val="28"/>
          <w:lang w:val="en-US"/>
        </w:rPr>
        <w:t>Guang</w:t>
      </w:r>
      <w:r w:rsidR="00FB12DC">
        <w:rPr>
          <w:rFonts w:eastAsia="仿宋_GB2312"/>
          <w:bCs/>
          <w:sz w:val="28"/>
          <w:szCs w:val="28"/>
          <w:lang w:val="en-US"/>
        </w:rPr>
        <w:t xml:space="preserve">dong, Hong Kong, Macao” </w:t>
      </w:r>
      <w:r w:rsidR="004B0501">
        <w:rPr>
          <w:rFonts w:eastAsia="仿宋_GB2312"/>
          <w:bCs/>
          <w:sz w:val="28"/>
          <w:szCs w:val="28"/>
          <w:lang w:val="en-US"/>
        </w:rPr>
        <w:t xml:space="preserve">to </w:t>
      </w:r>
      <w:r w:rsidR="001A6418">
        <w:rPr>
          <w:rFonts w:eastAsia="仿宋_GB2312"/>
          <w:bCs/>
          <w:sz w:val="28"/>
          <w:szCs w:val="28"/>
          <w:lang w:val="en-US"/>
        </w:rPr>
        <w:t>develop</w:t>
      </w:r>
      <w:r w:rsidR="004B0501">
        <w:rPr>
          <w:rFonts w:eastAsia="仿宋_GB2312"/>
          <w:bCs/>
          <w:sz w:val="28"/>
          <w:szCs w:val="28"/>
          <w:lang w:val="en-US"/>
        </w:rPr>
        <w:t xml:space="preserve"> investment</w:t>
      </w:r>
      <w:r w:rsidR="001A6418">
        <w:rPr>
          <w:rFonts w:eastAsia="仿宋_GB2312"/>
          <w:bCs/>
          <w:sz w:val="28"/>
          <w:szCs w:val="28"/>
          <w:lang w:val="en-US"/>
        </w:rPr>
        <w:t xml:space="preserve"> opportunities</w:t>
      </w:r>
      <w:r w:rsidR="004B0501">
        <w:rPr>
          <w:rFonts w:eastAsia="仿宋_GB2312"/>
          <w:bCs/>
          <w:sz w:val="28"/>
          <w:szCs w:val="28"/>
          <w:lang w:val="en-US"/>
        </w:rPr>
        <w:t xml:space="preserve"> and </w:t>
      </w:r>
      <w:r w:rsidRPr="005712DD">
        <w:rPr>
          <w:rFonts w:eastAsia="仿宋_GB2312"/>
          <w:bCs/>
          <w:sz w:val="28"/>
          <w:szCs w:val="28"/>
          <w:lang w:val="en-US"/>
        </w:rPr>
        <w:t xml:space="preserve">to carry out domestic and overseas mergers and acquisitions </w:t>
      </w:r>
      <w:r w:rsidR="00FB12DC">
        <w:rPr>
          <w:rFonts w:eastAsia="仿宋_GB2312"/>
          <w:bCs/>
          <w:sz w:val="28"/>
          <w:szCs w:val="28"/>
          <w:lang w:val="en-US"/>
        </w:rPr>
        <w:t>based on</w:t>
      </w:r>
      <w:r w:rsidRPr="005712DD">
        <w:rPr>
          <w:rFonts w:eastAsia="仿宋_GB2312"/>
          <w:bCs/>
          <w:sz w:val="28"/>
          <w:szCs w:val="28"/>
          <w:lang w:val="en-US"/>
        </w:rPr>
        <w:t xml:space="preserve"> the needs of listed companies in Guangdong Province. The Shenzhen </w:t>
      </w:r>
      <w:r w:rsidR="001A6418">
        <w:rPr>
          <w:rFonts w:eastAsia="仿宋_GB2312"/>
          <w:bCs/>
          <w:sz w:val="28"/>
          <w:szCs w:val="28"/>
          <w:lang w:val="en-US"/>
        </w:rPr>
        <w:t xml:space="preserve">Municipal Government Guidance Fund </w:t>
      </w:r>
      <w:r w:rsidRPr="005712DD">
        <w:rPr>
          <w:rFonts w:eastAsia="仿宋_GB2312"/>
          <w:bCs/>
          <w:sz w:val="28"/>
          <w:szCs w:val="28"/>
          <w:lang w:val="en-US"/>
        </w:rPr>
        <w:t xml:space="preserve">has completed </w:t>
      </w:r>
      <w:r w:rsidR="00C82C33">
        <w:rPr>
          <w:rFonts w:eastAsia="仿宋_GB2312"/>
          <w:bCs/>
          <w:sz w:val="28"/>
          <w:szCs w:val="28"/>
          <w:lang w:val="en-US"/>
        </w:rPr>
        <w:t>its</w:t>
      </w:r>
      <w:r w:rsidR="00C82C33" w:rsidRPr="005712DD">
        <w:rPr>
          <w:rFonts w:eastAsia="仿宋_GB2312"/>
          <w:bCs/>
          <w:sz w:val="28"/>
          <w:szCs w:val="28"/>
          <w:lang w:val="en-US"/>
        </w:rPr>
        <w:t xml:space="preserve"> </w:t>
      </w:r>
      <w:r w:rsidR="00FB12DC">
        <w:rPr>
          <w:rFonts w:eastAsia="仿宋_GB2312"/>
          <w:bCs/>
          <w:sz w:val="28"/>
          <w:szCs w:val="28"/>
          <w:lang w:val="en-US"/>
        </w:rPr>
        <w:t>due diligence of the C</w:t>
      </w:r>
      <w:r w:rsidR="0078027D">
        <w:rPr>
          <w:rFonts w:eastAsia="仿宋_GB2312"/>
          <w:bCs/>
          <w:sz w:val="28"/>
          <w:szCs w:val="28"/>
          <w:lang w:val="en-US"/>
        </w:rPr>
        <w:t xml:space="preserve">ompany </w:t>
      </w:r>
      <w:r w:rsidRPr="005712DD">
        <w:rPr>
          <w:rFonts w:eastAsia="仿宋_GB2312"/>
          <w:bCs/>
          <w:sz w:val="28"/>
          <w:szCs w:val="28"/>
          <w:lang w:val="en-US"/>
        </w:rPr>
        <w:t xml:space="preserve">and </w:t>
      </w:r>
      <w:r w:rsidR="00C82C33">
        <w:rPr>
          <w:rFonts w:eastAsia="仿宋_GB2312"/>
          <w:bCs/>
          <w:sz w:val="28"/>
          <w:szCs w:val="28"/>
          <w:lang w:val="en-US"/>
        </w:rPr>
        <w:t>is considering</w:t>
      </w:r>
      <w:r w:rsidR="0078027D">
        <w:rPr>
          <w:rFonts w:eastAsia="仿宋_GB2312"/>
          <w:bCs/>
          <w:sz w:val="28"/>
          <w:szCs w:val="28"/>
          <w:lang w:val="en-US"/>
        </w:rPr>
        <w:t xml:space="preserve"> providing </w:t>
      </w:r>
      <w:r w:rsidRPr="005712DD">
        <w:rPr>
          <w:rFonts w:eastAsia="仿宋_GB2312"/>
          <w:bCs/>
          <w:sz w:val="28"/>
          <w:szCs w:val="28"/>
          <w:lang w:val="en-US"/>
        </w:rPr>
        <w:t xml:space="preserve">RMB 500 million </w:t>
      </w:r>
      <w:r w:rsidR="0078027D">
        <w:rPr>
          <w:rFonts w:eastAsia="仿宋_GB2312"/>
          <w:bCs/>
          <w:sz w:val="28"/>
          <w:szCs w:val="28"/>
          <w:lang w:val="en-US"/>
        </w:rPr>
        <w:t xml:space="preserve">to the fund. </w:t>
      </w:r>
      <w:r w:rsidR="00FB12DC">
        <w:rPr>
          <w:rFonts w:eastAsia="仿宋_GB2312"/>
          <w:bCs/>
          <w:sz w:val="28"/>
          <w:szCs w:val="28"/>
          <w:lang w:val="en-US"/>
        </w:rPr>
        <w:t>The C</w:t>
      </w:r>
      <w:r w:rsidRPr="005712DD">
        <w:rPr>
          <w:rFonts w:eastAsia="仿宋_GB2312"/>
          <w:bCs/>
          <w:sz w:val="28"/>
          <w:szCs w:val="28"/>
          <w:lang w:val="en-US"/>
        </w:rPr>
        <w:t xml:space="preserve">ompany </w:t>
      </w:r>
      <w:r w:rsidR="0078027D">
        <w:rPr>
          <w:rFonts w:eastAsia="仿宋_GB2312"/>
          <w:bCs/>
          <w:sz w:val="28"/>
          <w:szCs w:val="28"/>
          <w:lang w:val="en-US"/>
        </w:rPr>
        <w:t xml:space="preserve">has </w:t>
      </w:r>
      <w:r w:rsidR="00FB12DC">
        <w:rPr>
          <w:rFonts w:eastAsia="仿宋_GB2312"/>
          <w:bCs/>
          <w:sz w:val="28"/>
          <w:szCs w:val="28"/>
          <w:lang w:val="en-US"/>
        </w:rPr>
        <w:t xml:space="preserve">also </w:t>
      </w:r>
      <w:r w:rsidRPr="005712DD">
        <w:rPr>
          <w:rFonts w:eastAsia="仿宋_GB2312"/>
          <w:bCs/>
          <w:sz w:val="28"/>
          <w:szCs w:val="28"/>
          <w:lang w:val="en-US"/>
        </w:rPr>
        <w:t>signed a strategic cooperation agreement wit</w:t>
      </w:r>
      <w:r w:rsidR="0078027D">
        <w:rPr>
          <w:rFonts w:eastAsia="仿宋_GB2312"/>
          <w:bCs/>
          <w:sz w:val="28"/>
          <w:szCs w:val="28"/>
          <w:lang w:val="en-US"/>
        </w:rPr>
        <w:t xml:space="preserve">h Guangdong </w:t>
      </w:r>
      <w:proofErr w:type="spellStart"/>
      <w:r w:rsidR="0078027D">
        <w:rPr>
          <w:rFonts w:eastAsia="仿宋_GB2312"/>
          <w:bCs/>
          <w:sz w:val="28"/>
          <w:szCs w:val="28"/>
          <w:lang w:val="en-US"/>
        </w:rPr>
        <w:t>Hengjian</w:t>
      </w:r>
      <w:proofErr w:type="spellEnd"/>
      <w:r w:rsidR="0078027D">
        <w:rPr>
          <w:rFonts w:eastAsia="仿宋_GB2312"/>
          <w:bCs/>
          <w:sz w:val="28"/>
          <w:szCs w:val="28"/>
          <w:lang w:val="en-US"/>
        </w:rPr>
        <w:t xml:space="preserve"> Group and </w:t>
      </w:r>
      <w:r w:rsidRPr="005712DD">
        <w:rPr>
          <w:rFonts w:eastAsia="仿宋_GB2312"/>
          <w:bCs/>
          <w:sz w:val="28"/>
          <w:szCs w:val="28"/>
          <w:lang w:val="en-US"/>
        </w:rPr>
        <w:t xml:space="preserve">specific </w:t>
      </w:r>
      <w:r w:rsidR="00C82C33">
        <w:rPr>
          <w:rFonts w:eastAsia="仿宋_GB2312"/>
          <w:bCs/>
          <w:sz w:val="28"/>
          <w:szCs w:val="28"/>
          <w:lang w:val="en-US"/>
        </w:rPr>
        <w:t xml:space="preserve">funding </w:t>
      </w:r>
      <w:r w:rsidRPr="005712DD">
        <w:rPr>
          <w:rFonts w:eastAsia="仿宋_GB2312"/>
          <w:bCs/>
          <w:sz w:val="28"/>
          <w:szCs w:val="28"/>
          <w:lang w:val="en-US"/>
        </w:rPr>
        <w:t>matters are being negotiated.</w:t>
      </w:r>
    </w:p>
    <w:p w14:paraId="02E4FC89" w14:textId="2A190AD5" w:rsidR="005712DD" w:rsidRPr="006A7FD4" w:rsidRDefault="005712DD" w:rsidP="00E0653B">
      <w:pPr>
        <w:tabs>
          <w:tab w:val="left" w:pos="330"/>
        </w:tabs>
        <w:spacing w:before="220" w:after="220" w:line="360" w:lineRule="auto"/>
        <w:jc w:val="both"/>
        <w:rPr>
          <w:rFonts w:eastAsia="仿宋_GB2312"/>
          <w:b/>
          <w:bCs/>
          <w:sz w:val="28"/>
          <w:szCs w:val="28"/>
          <w:lang w:val="en-US"/>
        </w:rPr>
      </w:pPr>
      <w:r w:rsidRPr="005712DD">
        <w:rPr>
          <w:rFonts w:eastAsia="仿宋_GB2312"/>
          <w:b/>
          <w:bCs/>
          <w:sz w:val="28"/>
          <w:szCs w:val="28"/>
          <w:lang w:val="en-US"/>
        </w:rPr>
        <w:t>ARM</w:t>
      </w:r>
      <w:r>
        <w:rPr>
          <w:rFonts w:eastAsia="仿宋_GB2312"/>
          <w:b/>
          <w:bCs/>
          <w:sz w:val="28"/>
          <w:szCs w:val="28"/>
          <w:lang w:val="en-US"/>
        </w:rPr>
        <w:t xml:space="preserve"> </w:t>
      </w:r>
      <w:r w:rsidRPr="005712DD">
        <w:rPr>
          <w:rFonts w:eastAsia="仿宋_GB2312"/>
          <w:b/>
          <w:bCs/>
          <w:sz w:val="28"/>
          <w:szCs w:val="28"/>
          <w:lang w:val="en-US"/>
        </w:rPr>
        <w:t>SEMICONDUCTOR INVESTMENT FUND</w:t>
      </w:r>
    </w:p>
    <w:p w14:paraId="5532DBF1" w14:textId="00212530" w:rsidR="00B34A14" w:rsidRDefault="005712DD" w:rsidP="009A2AEF">
      <w:pPr>
        <w:spacing w:line="360" w:lineRule="auto"/>
        <w:jc w:val="both"/>
        <w:rPr>
          <w:rFonts w:eastAsia="仿宋_GB2312"/>
          <w:bCs/>
          <w:sz w:val="28"/>
          <w:szCs w:val="28"/>
          <w:lang w:val="en-US"/>
        </w:rPr>
      </w:pPr>
      <w:r w:rsidRPr="005712DD">
        <w:rPr>
          <w:rFonts w:eastAsia="仿宋_GB2312"/>
          <w:bCs/>
          <w:sz w:val="28"/>
          <w:szCs w:val="28"/>
          <w:lang w:val="en-US"/>
        </w:rPr>
        <w:t>In order to seize the opportunity of semiconductor</w:t>
      </w:r>
      <w:r w:rsidR="00832FA6">
        <w:rPr>
          <w:rFonts w:eastAsia="仿宋_GB2312"/>
          <w:bCs/>
          <w:sz w:val="28"/>
          <w:szCs w:val="28"/>
          <w:lang w:val="en-US"/>
        </w:rPr>
        <w:t xml:space="preserve"> development, the </w:t>
      </w:r>
      <w:r w:rsidR="000E37F7">
        <w:rPr>
          <w:rFonts w:eastAsia="仿宋_GB2312"/>
          <w:bCs/>
          <w:sz w:val="28"/>
          <w:szCs w:val="28"/>
          <w:lang w:val="en-US"/>
        </w:rPr>
        <w:t>C</w:t>
      </w:r>
      <w:r w:rsidR="00832FA6">
        <w:rPr>
          <w:rFonts w:eastAsia="仿宋_GB2312"/>
          <w:bCs/>
          <w:sz w:val="28"/>
          <w:szCs w:val="28"/>
          <w:lang w:val="en-US"/>
        </w:rPr>
        <w:t>ompany and ARM</w:t>
      </w:r>
      <w:r w:rsidRPr="005712DD">
        <w:rPr>
          <w:rFonts w:eastAsia="仿宋_GB2312"/>
          <w:bCs/>
          <w:sz w:val="28"/>
          <w:szCs w:val="28"/>
          <w:lang w:val="en-US"/>
        </w:rPr>
        <w:t xml:space="preserve"> China intend to set up a</w:t>
      </w:r>
      <w:r w:rsidR="00460193">
        <w:rPr>
          <w:rFonts w:eastAsia="仿宋_GB2312"/>
          <w:bCs/>
          <w:sz w:val="28"/>
          <w:szCs w:val="28"/>
          <w:lang w:val="en-US"/>
        </w:rPr>
        <w:t>n</w:t>
      </w:r>
      <w:r w:rsidRPr="005712DD">
        <w:rPr>
          <w:rFonts w:eastAsia="仿宋_GB2312"/>
          <w:bCs/>
          <w:sz w:val="28"/>
          <w:szCs w:val="28"/>
          <w:lang w:val="en-US"/>
        </w:rPr>
        <w:t xml:space="preserve"> </w:t>
      </w:r>
      <w:r w:rsidR="00460193">
        <w:rPr>
          <w:rFonts w:eastAsia="仿宋_GB2312"/>
          <w:bCs/>
          <w:sz w:val="28"/>
          <w:szCs w:val="28"/>
          <w:lang w:val="en-US"/>
        </w:rPr>
        <w:t xml:space="preserve">RMB </w:t>
      </w:r>
      <w:r w:rsidR="00460193" w:rsidRPr="005712DD">
        <w:rPr>
          <w:rFonts w:eastAsia="仿宋_GB2312"/>
          <w:bCs/>
          <w:sz w:val="28"/>
          <w:szCs w:val="28"/>
          <w:lang w:val="en-US"/>
        </w:rPr>
        <w:t xml:space="preserve">5 billion </w:t>
      </w:r>
      <w:r w:rsidRPr="005712DD">
        <w:rPr>
          <w:rFonts w:eastAsia="仿宋_GB2312"/>
          <w:bCs/>
          <w:sz w:val="28"/>
          <w:szCs w:val="28"/>
          <w:lang w:val="en-US"/>
        </w:rPr>
        <w:t>semiconduct</w:t>
      </w:r>
      <w:r w:rsidR="000E37F7">
        <w:rPr>
          <w:rFonts w:eastAsia="仿宋_GB2312"/>
          <w:bCs/>
          <w:sz w:val="28"/>
          <w:szCs w:val="28"/>
          <w:lang w:val="en-US"/>
        </w:rPr>
        <w:t xml:space="preserve">or investment fund in Shenzhen </w:t>
      </w:r>
      <w:r w:rsidRPr="005712DD">
        <w:rPr>
          <w:rFonts w:eastAsia="仿宋_GB2312"/>
          <w:bCs/>
          <w:sz w:val="28"/>
          <w:szCs w:val="28"/>
          <w:lang w:val="en-US"/>
        </w:rPr>
        <w:t>with a</w:t>
      </w:r>
      <w:r w:rsidR="00460193">
        <w:rPr>
          <w:rFonts w:eastAsia="仿宋_GB2312"/>
          <w:bCs/>
          <w:sz w:val="28"/>
          <w:szCs w:val="28"/>
          <w:lang w:val="en-US"/>
        </w:rPr>
        <w:t>n initial clos</w:t>
      </w:r>
      <w:r w:rsidR="008B52B5">
        <w:rPr>
          <w:rFonts w:eastAsia="仿宋_GB2312"/>
          <w:bCs/>
          <w:sz w:val="28"/>
          <w:szCs w:val="28"/>
          <w:lang w:val="en-US"/>
        </w:rPr>
        <w:t>e</w:t>
      </w:r>
      <w:r w:rsidR="00832FA6">
        <w:rPr>
          <w:rFonts w:eastAsia="仿宋_GB2312"/>
          <w:bCs/>
          <w:sz w:val="28"/>
          <w:szCs w:val="28"/>
          <w:lang w:val="en-US"/>
        </w:rPr>
        <w:t xml:space="preserve"> of RMB</w:t>
      </w:r>
      <w:r w:rsidR="000E37F7">
        <w:rPr>
          <w:rFonts w:eastAsia="仿宋_GB2312"/>
          <w:bCs/>
          <w:sz w:val="28"/>
          <w:szCs w:val="28"/>
          <w:lang w:val="en-US"/>
        </w:rPr>
        <w:t xml:space="preserve"> 2 billion. Given</w:t>
      </w:r>
      <w:r w:rsidRPr="005712DD">
        <w:rPr>
          <w:rFonts w:eastAsia="仿宋_GB2312"/>
          <w:bCs/>
          <w:sz w:val="28"/>
          <w:szCs w:val="28"/>
          <w:lang w:val="en-US"/>
        </w:rPr>
        <w:t xml:space="preserve"> the </w:t>
      </w:r>
      <w:r w:rsidR="000E37F7">
        <w:rPr>
          <w:rFonts w:eastAsia="仿宋_GB2312"/>
          <w:bCs/>
          <w:sz w:val="28"/>
          <w:szCs w:val="28"/>
          <w:lang w:val="en-US"/>
        </w:rPr>
        <w:t xml:space="preserve">areas around chip </w:t>
      </w:r>
      <w:r w:rsidR="00F866FB">
        <w:rPr>
          <w:rFonts w:eastAsia="仿宋_GB2312"/>
          <w:bCs/>
          <w:sz w:val="28"/>
          <w:szCs w:val="28"/>
          <w:lang w:val="en-US"/>
        </w:rPr>
        <w:t xml:space="preserve">manufacturing and </w:t>
      </w:r>
      <w:r w:rsidR="000E37F7">
        <w:rPr>
          <w:rFonts w:eastAsia="仿宋_GB2312"/>
          <w:bCs/>
          <w:sz w:val="28"/>
          <w:szCs w:val="28"/>
          <w:lang w:val="en-US"/>
        </w:rPr>
        <w:t xml:space="preserve">sealing test </w:t>
      </w:r>
      <w:r w:rsidR="00F866FB">
        <w:rPr>
          <w:rFonts w:eastAsia="仿宋_GB2312"/>
          <w:bCs/>
          <w:sz w:val="28"/>
          <w:szCs w:val="28"/>
          <w:lang w:val="en-US"/>
        </w:rPr>
        <w:t xml:space="preserve">in the </w:t>
      </w:r>
      <w:r w:rsidR="00F866FB" w:rsidRPr="005712DD">
        <w:rPr>
          <w:rFonts w:eastAsia="仿宋_GB2312"/>
          <w:bCs/>
          <w:sz w:val="28"/>
          <w:szCs w:val="28"/>
          <w:lang w:val="en-US"/>
        </w:rPr>
        <w:lastRenderedPageBreak/>
        <w:t>semiconductor industry</w:t>
      </w:r>
      <w:r w:rsidR="000E37F7">
        <w:rPr>
          <w:rFonts w:eastAsia="仿宋_GB2312"/>
          <w:bCs/>
          <w:sz w:val="28"/>
          <w:szCs w:val="28"/>
          <w:lang w:val="en-US"/>
        </w:rPr>
        <w:t xml:space="preserve"> </w:t>
      </w:r>
      <w:r w:rsidR="006D6CDC">
        <w:rPr>
          <w:rFonts w:eastAsia="仿宋_GB2312"/>
          <w:bCs/>
          <w:sz w:val="28"/>
          <w:szCs w:val="28"/>
          <w:lang w:val="en-US"/>
        </w:rPr>
        <w:t>(</w:t>
      </w:r>
      <w:proofErr w:type="spellStart"/>
      <w:r w:rsidR="006D6CDC">
        <w:rPr>
          <w:rFonts w:eastAsia="仿宋_GB2312"/>
          <w:bCs/>
          <w:sz w:val="28"/>
          <w:szCs w:val="28"/>
          <w:lang w:val="en-US"/>
        </w:rPr>
        <w:t>i</w:t>
      </w:r>
      <w:proofErr w:type="spellEnd"/>
      <w:r w:rsidR="000E37F7">
        <w:rPr>
          <w:rFonts w:eastAsia="仿宋_GB2312"/>
          <w:bCs/>
          <w:sz w:val="28"/>
          <w:szCs w:val="28"/>
          <w:lang w:val="en-US"/>
        </w:rPr>
        <w:t xml:space="preserve">) are </w:t>
      </w:r>
      <w:r w:rsidRPr="005712DD">
        <w:rPr>
          <w:rFonts w:eastAsia="仿宋_GB2312"/>
          <w:bCs/>
          <w:sz w:val="28"/>
          <w:szCs w:val="28"/>
          <w:lang w:val="en-US"/>
        </w:rPr>
        <w:t xml:space="preserve">relatively mature, </w:t>
      </w:r>
      <w:r w:rsidR="006D6CDC">
        <w:rPr>
          <w:rFonts w:eastAsia="仿宋_GB2312"/>
          <w:bCs/>
          <w:sz w:val="28"/>
          <w:szCs w:val="28"/>
          <w:lang w:val="en-US"/>
        </w:rPr>
        <w:t>(ii</w:t>
      </w:r>
      <w:r w:rsidR="000E37F7">
        <w:rPr>
          <w:rFonts w:eastAsia="仿宋_GB2312"/>
          <w:bCs/>
          <w:sz w:val="28"/>
          <w:szCs w:val="28"/>
          <w:lang w:val="en-US"/>
        </w:rPr>
        <w:t xml:space="preserve">) have large </w:t>
      </w:r>
      <w:r w:rsidRPr="005712DD">
        <w:rPr>
          <w:rFonts w:eastAsia="仿宋_GB2312"/>
          <w:bCs/>
          <w:sz w:val="28"/>
          <w:szCs w:val="28"/>
          <w:lang w:val="en-US"/>
        </w:rPr>
        <w:t>investment scale, and</w:t>
      </w:r>
      <w:r w:rsidR="000E37F7">
        <w:rPr>
          <w:rFonts w:eastAsia="仿宋_GB2312"/>
          <w:bCs/>
          <w:sz w:val="28"/>
          <w:szCs w:val="28"/>
          <w:lang w:val="en-US"/>
        </w:rPr>
        <w:t xml:space="preserve"> </w:t>
      </w:r>
      <w:r w:rsidR="006D6CDC">
        <w:rPr>
          <w:rFonts w:eastAsia="仿宋_GB2312"/>
          <w:bCs/>
          <w:sz w:val="28"/>
          <w:szCs w:val="28"/>
          <w:lang w:val="en-US"/>
        </w:rPr>
        <w:t>(iii</w:t>
      </w:r>
      <w:r w:rsidR="000E37F7">
        <w:rPr>
          <w:rFonts w:eastAsia="仿宋_GB2312"/>
          <w:bCs/>
          <w:sz w:val="28"/>
          <w:szCs w:val="28"/>
          <w:lang w:val="en-US"/>
        </w:rPr>
        <w:t>)</w:t>
      </w:r>
      <w:r w:rsidRPr="005712DD">
        <w:rPr>
          <w:rFonts w:eastAsia="仿宋_GB2312"/>
          <w:bCs/>
          <w:sz w:val="28"/>
          <w:szCs w:val="28"/>
          <w:lang w:val="en-US"/>
        </w:rPr>
        <w:t xml:space="preserve"> </w:t>
      </w:r>
      <w:r w:rsidR="000E37F7">
        <w:rPr>
          <w:rFonts w:eastAsia="仿宋_GB2312"/>
          <w:bCs/>
          <w:sz w:val="28"/>
          <w:szCs w:val="28"/>
          <w:lang w:val="en-US"/>
        </w:rPr>
        <w:t xml:space="preserve">have long </w:t>
      </w:r>
      <w:r w:rsidR="00F866FB">
        <w:rPr>
          <w:rFonts w:eastAsia="仿宋_GB2312"/>
          <w:bCs/>
          <w:sz w:val="28"/>
          <w:szCs w:val="28"/>
          <w:lang w:val="en-US"/>
        </w:rPr>
        <w:t>period</w:t>
      </w:r>
      <w:r w:rsidR="000E37F7">
        <w:rPr>
          <w:rFonts w:eastAsia="仿宋_GB2312"/>
          <w:bCs/>
          <w:sz w:val="28"/>
          <w:szCs w:val="28"/>
          <w:lang w:val="en-US"/>
        </w:rPr>
        <w:t xml:space="preserve"> of investment returns</w:t>
      </w:r>
      <w:r w:rsidR="00F866FB">
        <w:rPr>
          <w:rFonts w:eastAsia="仿宋_GB2312"/>
          <w:bCs/>
          <w:sz w:val="28"/>
          <w:szCs w:val="28"/>
          <w:lang w:val="en-US"/>
        </w:rPr>
        <w:t>, this</w:t>
      </w:r>
      <w:r w:rsidRPr="005712DD">
        <w:rPr>
          <w:rFonts w:eastAsia="仿宋_GB2312"/>
          <w:bCs/>
          <w:sz w:val="28"/>
          <w:szCs w:val="28"/>
          <w:lang w:val="en-US"/>
        </w:rPr>
        <w:t xml:space="preserve"> semiconductor investment fund will mainly focus on domestic chip replacement, chip design and </w:t>
      </w:r>
      <w:r w:rsidR="00F866FB">
        <w:rPr>
          <w:rFonts w:eastAsia="仿宋_GB2312"/>
          <w:bCs/>
          <w:sz w:val="28"/>
          <w:szCs w:val="28"/>
          <w:lang w:val="en-US"/>
        </w:rPr>
        <w:t xml:space="preserve">end user applications </w:t>
      </w:r>
      <w:r w:rsidRPr="005712DD">
        <w:rPr>
          <w:rFonts w:eastAsia="仿宋_GB2312"/>
          <w:bCs/>
          <w:sz w:val="28"/>
          <w:szCs w:val="28"/>
          <w:lang w:val="en-US"/>
        </w:rPr>
        <w:t>that can</w:t>
      </w:r>
      <w:r w:rsidR="00460193">
        <w:rPr>
          <w:rFonts w:eastAsia="仿宋_GB2312"/>
          <w:bCs/>
          <w:sz w:val="28"/>
          <w:szCs w:val="28"/>
          <w:lang w:val="en-US"/>
        </w:rPr>
        <w:t xml:space="preserve"> quickly</w:t>
      </w:r>
      <w:r w:rsidRPr="005712DD">
        <w:rPr>
          <w:rFonts w:eastAsia="仿宋_GB2312"/>
          <w:bCs/>
          <w:sz w:val="28"/>
          <w:szCs w:val="28"/>
          <w:lang w:val="en-US"/>
        </w:rPr>
        <w:t xml:space="preserve"> achieve product </w:t>
      </w:r>
      <w:r w:rsidR="00F866FB">
        <w:rPr>
          <w:rFonts w:eastAsia="仿宋_GB2312"/>
          <w:bCs/>
          <w:sz w:val="28"/>
          <w:szCs w:val="28"/>
          <w:lang w:val="en-US"/>
        </w:rPr>
        <w:t>launch</w:t>
      </w:r>
      <w:r>
        <w:rPr>
          <w:rFonts w:eastAsia="仿宋_GB2312"/>
          <w:bCs/>
          <w:sz w:val="28"/>
          <w:szCs w:val="28"/>
          <w:lang w:val="en-US"/>
        </w:rPr>
        <w:t xml:space="preserve"> and </w:t>
      </w:r>
      <w:r w:rsidR="00F866FB">
        <w:rPr>
          <w:rFonts w:eastAsia="仿宋_GB2312"/>
          <w:bCs/>
          <w:sz w:val="28"/>
          <w:szCs w:val="28"/>
          <w:lang w:val="en-US"/>
        </w:rPr>
        <w:t xml:space="preserve">high </w:t>
      </w:r>
      <w:r>
        <w:rPr>
          <w:rFonts w:eastAsia="仿宋_GB2312"/>
          <w:bCs/>
          <w:sz w:val="28"/>
          <w:szCs w:val="28"/>
          <w:lang w:val="en-US"/>
        </w:rPr>
        <w:t xml:space="preserve">valuation growth. </w:t>
      </w:r>
      <w:r w:rsidR="000E37F7">
        <w:rPr>
          <w:rFonts w:eastAsia="仿宋_GB2312"/>
          <w:bCs/>
          <w:sz w:val="28"/>
          <w:szCs w:val="28"/>
          <w:lang w:val="en-US"/>
        </w:rPr>
        <w:t>The C</w:t>
      </w:r>
      <w:r w:rsidRPr="005712DD">
        <w:rPr>
          <w:rFonts w:eastAsia="仿宋_GB2312"/>
          <w:bCs/>
          <w:sz w:val="28"/>
          <w:szCs w:val="28"/>
          <w:lang w:val="en-US"/>
        </w:rPr>
        <w:t xml:space="preserve">ompany </w:t>
      </w:r>
      <w:r w:rsidR="00F866FB">
        <w:rPr>
          <w:rFonts w:eastAsia="仿宋_GB2312"/>
          <w:bCs/>
          <w:sz w:val="28"/>
          <w:szCs w:val="28"/>
          <w:lang w:val="en-US"/>
        </w:rPr>
        <w:t>is currently discussing with ARM</w:t>
      </w:r>
      <w:r w:rsidRPr="005712DD">
        <w:rPr>
          <w:rFonts w:eastAsia="仿宋_GB2312"/>
          <w:bCs/>
          <w:sz w:val="28"/>
          <w:szCs w:val="28"/>
          <w:lang w:val="en-US"/>
        </w:rPr>
        <w:t xml:space="preserve"> </w:t>
      </w:r>
      <w:r w:rsidR="00D12AAD">
        <w:rPr>
          <w:rFonts w:eastAsia="仿宋_GB2312"/>
          <w:bCs/>
          <w:sz w:val="28"/>
          <w:szCs w:val="28"/>
          <w:lang w:val="en-US"/>
        </w:rPr>
        <w:t xml:space="preserve">China </w:t>
      </w:r>
      <w:r w:rsidRPr="005712DD">
        <w:rPr>
          <w:rFonts w:eastAsia="仿宋_GB2312"/>
          <w:bCs/>
          <w:sz w:val="28"/>
          <w:szCs w:val="28"/>
          <w:lang w:val="en-US"/>
        </w:rPr>
        <w:t>to determine the final investment logic.</w:t>
      </w:r>
    </w:p>
    <w:p w14:paraId="683E204F" w14:textId="2F34D831" w:rsidR="005712DD" w:rsidRDefault="00460193" w:rsidP="009A2AEF">
      <w:pPr>
        <w:spacing w:line="360" w:lineRule="auto"/>
        <w:jc w:val="both"/>
        <w:rPr>
          <w:rFonts w:eastAsia="仿宋_GB2312"/>
          <w:bCs/>
          <w:sz w:val="28"/>
          <w:szCs w:val="28"/>
          <w:lang w:val="en-US"/>
        </w:rPr>
      </w:pPr>
      <w:r>
        <w:rPr>
          <w:rFonts w:eastAsia="仿宋_GB2312"/>
          <w:bCs/>
          <w:sz w:val="28"/>
          <w:szCs w:val="28"/>
          <w:lang w:val="en-US"/>
        </w:rPr>
        <w:t xml:space="preserve">It is proposed that the shareholding of the management vehicle of the semiconductor fund will be allocated </w:t>
      </w:r>
      <w:r w:rsidR="00B34A14">
        <w:rPr>
          <w:rFonts w:eastAsia="仿宋_GB2312"/>
          <w:bCs/>
          <w:sz w:val="28"/>
          <w:szCs w:val="28"/>
          <w:lang w:val="en-US"/>
        </w:rPr>
        <w:t>between the</w:t>
      </w:r>
      <w:r w:rsidR="005712DD" w:rsidRPr="005712DD">
        <w:rPr>
          <w:rFonts w:eastAsia="仿宋_GB2312"/>
          <w:bCs/>
          <w:sz w:val="28"/>
          <w:szCs w:val="28"/>
          <w:lang w:val="en-US"/>
        </w:rPr>
        <w:t xml:space="preserve"> </w:t>
      </w:r>
      <w:r w:rsidR="00E914E4">
        <w:rPr>
          <w:rFonts w:eastAsia="仿宋_GB2312"/>
          <w:bCs/>
          <w:sz w:val="28"/>
          <w:szCs w:val="28"/>
          <w:lang w:val="en-US"/>
        </w:rPr>
        <w:t>C</w:t>
      </w:r>
      <w:r w:rsidR="00B34A14">
        <w:rPr>
          <w:rFonts w:eastAsia="仿宋_GB2312"/>
          <w:bCs/>
          <w:sz w:val="28"/>
          <w:szCs w:val="28"/>
          <w:lang w:val="en-US"/>
        </w:rPr>
        <w:t>ompany and ARM</w:t>
      </w:r>
      <w:r w:rsidR="005712DD" w:rsidRPr="005712DD">
        <w:rPr>
          <w:rFonts w:eastAsia="仿宋_GB2312"/>
          <w:bCs/>
          <w:sz w:val="28"/>
          <w:szCs w:val="28"/>
          <w:lang w:val="en-US"/>
        </w:rPr>
        <w:t xml:space="preserve"> China (or its subsidiaries) 35.7%: 34.3%, </w:t>
      </w:r>
      <w:r w:rsidR="00A05C05">
        <w:rPr>
          <w:rFonts w:eastAsia="仿宋_GB2312"/>
          <w:bCs/>
          <w:sz w:val="28"/>
          <w:szCs w:val="28"/>
          <w:lang w:val="en-US"/>
        </w:rPr>
        <w:t xml:space="preserve">with </w:t>
      </w:r>
      <w:r w:rsidR="00B34A14">
        <w:rPr>
          <w:rFonts w:eastAsia="仿宋_GB2312"/>
          <w:bCs/>
          <w:sz w:val="28"/>
          <w:szCs w:val="28"/>
          <w:lang w:val="en-US"/>
        </w:rPr>
        <w:t xml:space="preserve">the remaining 30% </w:t>
      </w:r>
      <w:r w:rsidR="00A05C05">
        <w:rPr>
          <w:rFonts w:eastAsia="仿宋_GB2312"/>
          <w:bCs/>
          <w:sz w:val="28"/>
          <w:szCs w:val="28"/>
          <w:lang w:val="en-US"/>
        </w:rPr>
        <w:t>reserved</w:t>
      </w:r>
      <w:r w:rsidR="00B34A14">
        <w:rPr>
          <w:rFonts w:eastAsia="仿宋_GB2312"/>
          <w:bCs/>
          <w:sz w:val="28"/>
          <w:szCs w:val="28"/>
          <w:lang w:val="en-US"/>
        </w:rPr>
        <w:t xml:space="preserve"> </w:t>
      </w:r>
      <w:r w:rsidR="00A05C05">
        <w:rPr>
          <w:rFonts w:eastAsia="仿宋_GB2312"/>
          <w:bCs/>
          <w:sz w:val="28"/>
          <w:szCs w:val="28"/>
          <w:lang w:val="en-US"/>
        </w:rPr>
        <w:t xml:space="preserve">for </w:t>
      </w:r>
      <w:r w:rsidR="00B34A14">
        <w:rPr>
          <w:rFonts w:eastAsia="仿宋_GB2312"/>
          <w:bCs/>
          <w:sz w:val="28"/>
          <w:szCs w:val="28"/>
          <w:lang w:val="en-US"/>
        </w:rPr>
        <w:t>the management team</w:t>
      </w:r>
      <w:r w:rsidR="00E914E4">
        <w:rPr>
          <w:rFonts w:eastAsia="仿宋_GB2312"/>
          <w:bCs/>
          <w:sz w:val="28"/>
          <w:szCs w:val="28"/>
          <w:lang w:val="en-US"/>
        </w:rPr>
        <w:t>. At present, the C</w:t>
      </w:r>
      <w:r w:rsidR="005712DD" w:rsidRPr="005712DD">
        <w:rPr>
          <w:rFonts w:eastAsia="仿宋_GB2312"/>
          <w:bCs/>
          <w:sz w:val="28"/>
          <w:szCs w:val="28"/>
          <w:lang w:val="en-US"/>
        </w:rPr>
        <w:t xml:space="preserve">ompany has initially communicated with institutional investors such as </w:t>
      </w:r>
      <w:r w:rsidR="00E914E4">
        <w:rPr>
          <w:rFonts w:eastAsia="仿宋_GB2312"/>
          <w:bCs/>
          <w:sz w:val="28"/>
          <w:szCs w:val="28"/>
          <w:lang w:val="en-US"/>
        </w:rPr>
        <w:t xml:space="preserve">CNIC, Guangdong </w:t>
      </w:r>
      <w:proofErr w:type="spellStart"/>
      <w:r w:rsidR="00E914E4">
        <w:rPr>
          <w:rFonts w:eastAsia="仿宋_GB2312"/>
          <w:bCs/>
          <w:sz w:val="28"/>
          <w:szCs w:val="28"/>
          <w:lang w:val="en-US"/>
        </w:rPr>
        <w:t>Hengjian</w:t>
      </w:r>
      <w:proofErr w:type="spellEnd"/>
      <w:r w:rsidR="00E914E4">
        <w:rPr>
          <w:rFonts w:eastAsia="仿宋_GB2312"/>
          <w:bCs/>
          <w:sz w:val="28"/>
          <w:szCs w:val="28"/>
          <w:lang w:val="en-US"/>
        </w:rPr>
        <w:t>, and</w:t>
      </w:r>
      <w:r w:rsidR="005712DD" w:rsidRPr="005712DD">
        <w:rPr>
          <w:rFonts w:eastAsia="仿宋_GB2312"/>
          <w:bCs/>
          <w:sz w:val="28"/>
          <w:szCs w:val="28"/>
          <w:lang w:val="en-US"/>
        </w:rPr>
        <w:t xml:space="preserve"> Bank of China, </w:t>
      </w:r>
      <w:r w:rsidR="00A05C05">
        <w:rPr>
          <w:rFonts w:eastAsia="仿宋_GB2312"/>
          <w:bCs/>
          <w:sz w:val="28"/>
          <w:szCs w:val="28"/>
          <w:lang w:val="en-US"/>
        </w:rPr>
        <w:t>all of whom</w:t>
      </w:r>
      <w:r w:rsidR="00A05C05" w:rsidRPr="005712DD">
        <w:rPr>
          <w:rFonts w:eastAsia="仿宋_GB2312"/>
          <w:bCs/>
          <w:sz w:val="28"/>
          <w:szCs w:val="28"/>
          <w:lang w:val="en-US"/>
        </w:rPr>
        <w:t xml:space="preserve"> </w:t>
      </w:r>
      <w:r w:rsidR="005712DD" w:rsidRPr="005712DD">
        <w:rPr>
          <w:rFonts w:eastAsia="仿宋_GB2312"/>
          <w:bCs/>
          <w:sz w:val="28"/>
          <w:szCs w:val="28"/>
          <w:lang w:val="en-US"/>
        </w:rPr>
        <w:t>have expressed high interest.</w:t>
      </w:r>
    </w:p>
    <w:p w14:paraId="31D642D0" w14:textId="13AC1560" w:rsidR="005712DD" w:rsidRDefault="005712DD" w:rsidP="00E0653B">
      <w:pPr>
        <w:tabs>
          <w:tab w:val="left" w:pos="330"/>
        </w:tabs>
        <w:spacing w:before="220" w:after="220" w:line="360" w:lineRule="auto"/>
        <w:jc w:val="both"/>
        <w:rPr>
          <w:rFonts w:eastAsia="仿宋_GB2312"/>
          <w:b/>
          <w:bCs/>
          <w:sz w:val="28"/>
          <w:szCs w:val="28"/>
          <w:lang w:val="en-US"/>
        </w:rPr>
      </w:pPr>
      <w:r w:rsidRPr="006A7FD4">
        <w:rPr>
          <w:rFonts w:eastAsia="仿宋_GB2312"/>
          <w:b/>
          <w:bCs/>
          <w:sz w:val="28"/>
          <w:szCs w:val="28"/>
          <w:lang w:val="en-US"/>
        </w:rPr>
        <w:t>PET FUND</w:t>
      </w:r>
    </w:p>
    <w:p w14:paraId="0FE51E28" w14:textId="40E8FB3B" w:rsidR="005712DD" w:rsidRDefault="00A05C05" w:rsidP="009A2AEF">
      <w:pPr>
        <w:spacing w:line="360" w:lineRule="auto"/>
        <w:jc w:val="both"/>
        <w:rPr>
          <w:rFonts w:eastAsia="仿宋_GB2312"/>
          <w:bCs/>
          <w:sz w:val="28"/>
          <w:szCs w:val="28"/>
          <w:lang w:val="en-US"/>
        </w:rPr>
      </w:pPr>
      <w:r>
        <w:rPr>
          <w:rFonts w:eastAsia="仿宋_GB2312"/>
          <w:bCs/>
          <w:sz w:val="28"/>
          <w:szCs w:val="28"/>
          <w:lang w:val="en-US"/>
        </w:rPr>
        <w:t xml:space="preserve">BHR is launching a pet products and services fund together with China’s </w:t>
      </w:r>
      <w:r w:rsidR="00E41945">
        <w:rPr>
          <w:rFonts w:eastAsia="仿宋_GB2312"/>
          <w:bCs/>
          <w:sz w:val="28"/>
          <w:szCs w:val="28"/>
          <w:lang w:val="en-US"/>
        </w:rPr>
        <w:t xml:space="preserve">largest </w:t>
      </w:r>
      <w:r w:rsidR="000A4DAF">
        <w:rPr>
          <w:rFonts w:eastAsia="仿宋_GB2312"/>
          <w:bCs/>
          <w:sz w:val="28"/>
          <w:szCs w:val="28"/>
          <w:lang w:val="en-US"/>
        </w:rPr>
        <w:t xml:space="preserve">listed </w:t>
      </w:r>
      <w:r>
        <w:rPr>
          <w:rFonts w:eastAsia="仿宋_GB2312"/>
          <w:bCs/>
          <w:sz w:val="28"/>
          <w:szCs w:val="28"/>
          <w:lang w:val="en-US"/>
        </w:rPr>
        <w:t xml:space="preserve">designer and manufacturer of chew toys and </w:t>
      </w:r>
      <w:r w:rsidR="0095660E">
        <w:rPr>
          <w:rFonts w:eastAsia="仿宋_GB2312"/>
          <w:bCs/>
          <w:sz w:val="28"/>
          <w:szCs w:val="28"/>
          <w:lang w:val="en-US"/>
        </w:rPr>
        <w:t xml:space="preserve">pet food.  </w:t>
      </w:r>
      <w:r w:rsidR="005712DD" w:rsidRPr="005712DD">
        <w:rPr>
          <w:rFonts w:eastAsia="仿宋_GB2312"/>
          <w:bCs/>
          <w:sz w:val="28"/>
          <w:szCs w:val="28"/>
          <w:lang w:val="en-US"/>
        </w:rPr>
        <w:t>The fund</w:t>
      </w:r>
      <w:r w:rsidR="0095660E">
        <w:rPr>
          <w:rFonts w:eastAsia="仿宋_GB2312"/>
          <w:bCs/>
          <w:sz w:val="28"/>
          <w:szCs w:val="28"/>
          <w:lang w:val="en-US"/>
        </w:rPr>
        <w:t xml:space="preserve"> will</w:t>
      </w:r>
      <w:r w:rsidR="005712DD" w:rsidRPr="005712DD">
        <w:rPr>
          <w:rFonts w:eastAsia="仿宋_GB2312"/>
          <w:bCs/>
          <w:sz w:val="28"/>
          <w:szCs w:val="28"/>
          <w:lang w:val="en-US"/>
        </w:rPr>
        <w:t xml:space="preserve"> mainly focus on M&amp;A opportunities of high-quality enterprises in pet medical and pet food production and sales</w:t>
      </w:r>
      <w:r w:rsidR="0087438D">
        <w:rPr>
          <w:rFonts w:eastAsia="仿宋_GB2312"/>
          <w:bCs/>
          <w:sz w:val="28"/>
          <w:szCs w:val="28"/>
          <w:lang w:val="en-US"/>
        </w:rPr>
        <w:t xml:space="preserve"> with the view of leveraging</w:t>
      </w:r>
      <w:r w:rsidR="00742C72">
        <w:rPr>
          <w:rFonts w:eastAsia="仿宋_GB2312"/>
          <w:bCs/>
          <w:sz w:val="28"/>
          <w:szCs w:val="28"/>
          <w:lang w:val="en-US"/>
        </w:rPr>
        <w:t xml:space="preserve"> our co-sponsor’s </w:t>
      </w:r>
      <w:r w:rsidR="0087438D">
        <w:rPr>
          <w:rFonts w:eastAsia="仿宋_GB2312"/>
          <w:bCs/>
          <w:sz w:val="28"/>
          <w:szCs w:val="28"/>
          <w:lang w:val="en-US"/>
        </w:rPr>
        <w:t>existing resources to scale its operations and to expand its portfolio of offerings</w:t>
      </w:r>
      <w:r w:rsidR="000657CF">
        <w:rPr>
          <w:rFonts w:eastAsia="仿宋_GB2312"/>
          <w:bCs/>
          <w:sz w:val="28"/>
          <w:szCs w:val="28"/>
          <w:lang w:val="en-US"/>
        </w:rPr>
        <w:t xml:space="preserve"> through M&amp;A activities</w:t>
      </w:r>
      <w:r w:rsidR="005712DD" w:rsidRPr="005712DD">
        <w:rPr>
          <w:rFonts w:eastAsia="仿宋_GB2312"/>
          <w:bCs/>
          <w:sz w:val="28"/>
          <w:szCs w:val="28"/>
          <w:lang w:val="en-US"/>
        </w:rPr>
        <w:t xml:space="preserve">. </w:t>
      </w:r>
      <w:r w:rsidR="0087438D">
        <w:rPr>
          <w:rFonts w:eastAsia="仿宋_GB2312"/>
          <w:bCs/>
          <w:sz w:val="28"/>
          <w:szCs w:val="28"/>
          <w:lang w:val="en-US"/>
        </w:rPr>
        <w:t xml:space="preserve">Our co-sponsor </w:t>
      </w:r>
      <w:r w:rsidR="00742C72">
        <w:rPr>
          <w:rFonts w:eastAsia="仿宋_GB2312"/>
          <w:bCs/>
          <w:sz w:val="28"/>
          <w:szCs w:val="28"/>
          <w:lang w:val="en-US"/>
        </w:rPr>
        <w:t xml:space="preserve">recently issued a public announcement regarding the launch of the Pet Fund, terms </w:t>
      </w:r>
      <w:r w:rsidR="008B52B5">
        <w:rPr>
          <w:rFonts w:eastAsia="仿宋_GB2312"/>
          <w:bCs/>
          <w:sz w:val="28"/>
          <w:szCs w:val="28"/>
          <w:lang w:val="en-US"/>
        </w:rPr>
        <w:t xml:space="preserve">of the Fund include </w:t>
      </w:r>
      <w:r w:rsidR="00742C72">
        <w:rPr>
          <w:rFonts w:eastAsia="仿宋_GB2312"/>
          <w:bCs/>
          <w:sz w:val="28"/>
          <w:szCs w:val="28"/>
          <w:lang w:val="en-US"/>
        </w:rPr>
        <w:t>(</w:t>
      </w:r>
      <w:proofErr w:type="spellStart"/>
      <w:r w:rsidR="00742C72">
        <w:rPr>
          <w:rFonts w:eastAsia="仿宋_GB2312"/>
          <w:bCs/>
          <w:sz w:val="28"/>
          <w:szCs w:val="28"/>
          <w:lang w:val="en-US"/>
        </w:rPr>
        <w:t>i</w:t>
      </w:r>
      <w:proofErr w:type="spellEnd"/>
      <w:r w:rsidR="00742C72">
        <w:rPr>
          <w:rFonts w:eastAsia="仿宋_GB2312"/>
          <w:bCs/>
          <w:sz w:val="28"/>
          <w:szCs w:val="28"/>
          <w:lang w:val="en-US"/>
        </w:rPr>
        <w:t xml:space="preserve">) </w:t>
      </w:r>
      <w:r w:rsidR="008B52B5">
        <w:rPr>
          <w:rFonts w:eastAsia="仿宋_GB2312"/>
          <w:bCs/>
          <w:sz w:val="28"/>
          <w:szCs w:val="28"/>
          <w:lang w:val="en-US"/>
        </w:rPr>
        <w:t>seeking to raise RMB</w:t>
      </w:r>
      <w:r w:rsidR="00742C72">
        <w:rPr>
          <w:rFonts w:eastAsia="仿宋_GB2312"/>
          <w:bCs/>
          <w:sz w:val="28"/>
          <w:szCs w:val="28"/>
          <w:lang w:val="en-US"/>
        </w:rPr>
        <w:t>1 billion</w:t>
      </w:r>
      <w:r w:rsidR="008B52B5">
        <w:rPr>
          <w:rFonts w:eastAsia="仿宋_GB2312"/>
          <w:bCs/>
          <w:sz w:val="28"/>
          <w:szCs w:val="28"/>
          <w:lang w:val="en-US"/>
        </w:rPr>
        <w:t xml:space="preserve"> </w:t>
      </w:r>
      <w:r w:rsidR="008B52B5">
        <w:rPr>
          <w:rFonts w:eastAsia="仿宋_GB2312"/>
          <w:bCs/>
          <w:sz w:val="28"/>
          <w:szCs w:val="28"/>
          <w:lang w:val="en-US"/>
        </w:rPr>
        <w:lastRenderedPageBreak/>
        <w:t>targeting</w:t>
      </w:r>
      <w:r w:rsidR="00742C72">
        <w:rPr>
          <w:rFonts w:eastAsia="仿宋_GB2312"/>
          <w:bCs/>
          <w:sz w:val="28"/>
          <w:szCs w:val="28"/>
          <w:lang w:val="en-US"/>
        </w:rPr>
        <w:t xml:space="preserve"> an initial clos</w:t>
      </w:r>
      <w:r w:rsidR="008B52B5">
        <w:rPr>
          <w:rFonts w:eastAsia="仿宋_GB2312"/>
          <w:bCs/>
          <w:sz w:val="28"/>
          <w:szCs w:val="28"/>
          <w:lang w:val="en-US"/>
        </w:rPr>
        <w:t>e</w:t>
      </w:r>
      <w:r w:rsidR="00742C72">
        <w:rPr>
          <w:rFonts w:eastAsia="仿宋_GB2312"/>
          <w:bCs/>
          <w:sz w:val="28"/>
          <w:szCs w:val="28"/>
          <w:lang w:val="en-US"/>
        </w:rPr>
        <w:t xml:space="preserve"> at RMB300 million</w:t>
      </w:r>
      <w:r w:rsidR="00E914E4">
        <w:rPr>
          <w:rFonts w:eastAsia="仿宋_GB2312"/>
          <w:bCs/>
          <w:sz w:val="28"/>
          <w:szCs w:val="28"/>
          <w:lang w:val="en-US"/>
        </w:rPr>
        <w:t xml:space="preserve">, </w:t>
      </w:r>
      <w:r w:rsidR="00DB7321">
        <w:rPr>
          <w:rFonts w:eastAsia="仿宋_GB2312"/>
          <w:bCs/>
          <w:sz w:val="28"/>
          <w:szCs w:val="28"/>
          <w:lang w:val="en-US"/>
        </w:rPr>
        <w:t>(ii) our co-sponsor, the listed company, will serve as the anchor LP and</w:t>
      </w:r>
      <w:r w:rsidR="005712DD" w:rsidRPr="005712DD">
        <w:rPr>
          <w:rFonts w:eastAsia="仿宋_GB2312"/>
          <w:bCs/>
          <w:sz w:val="28"/>
          <w:szCs w:val="28"/>
          <w:lang w:val="en-US"/>
        </w:rPr>
        <w:t xml:space="preserve"> </w:t>
      </w:r>
      <w:r w:rsidR="000657CF">
        <w:rPr>
          <w:rFonts w:eastAsia="仿宋_GB2312"/>
          <w:bCs/>
          <w:sz w:val="28"/>
          <w:szCs w:val="28"/>
          <w:lang w:val="en-US"/>
        </w:rPr>
        <w:t xml:space="preserve">has committed to </w:t>
      </w:r>
      <w:r w:rsidR="005712DD" w:rsidRPr="005712DD">
        <w:rPr>
          <w:rFonts w:eastAsia="仿宋_GB2312"/>
          <w:bCs/>
          <w:sz w:val="28"/>
          <w:szCs w:val="28"/>
          <w:lang w:val="en-US"/>
        </w:rPr>
        <w:t xml:space="preserve">subscribe </w:t>
      </w:r>
      <w:r w:rsidR="000657CF">
        <w:rPr>
          <w:rFonts w:eastAsia="仿宋_GB2312"/>
          <w:bCs/>
          <w:sz w:val="28"/>
          <w:szCs w:val="28"/>
          <w:lang w:val="en-US"/>
        </w:rPr>
        <w:t>to</w:t>
      </w:r>
      <w:r w:rsidR="000657CF" w:rsidRPr="005712DD">
        <w:rPr>
          <w:rFonts w:eastAsia="仿宋_GB2312"/>
          <w:bCs/>
          <w:sz w:val="28"/>
          <w:szCs w:val="28"/>
          <w:lang w:val="en-US"/>
        </w:rPr>
        <w:t xml:space="preserve"> </w:t>
      </w:r>
      <w:r w:rsidR="00DB7321">
        <w:rPr>
          <w:rFonts w:eastAsia="仿宋_GB2312"/>
          <w:bCs/>
          <w:sz w:val="28"/>
          <w:szCs w:val="28"/>
          <w:lang w:val="en-US"/>
        </w:rPr>
        <w:t>no less than 30% of the total committed capital</w:t>
      </w:r>
      <w:r w:rsidR="00E914E4">
        <w:rPr>
          <w:rFonts w:eastAsia="仿宋_GB2312"/>
          <w:bCs/>
          <w:sz w:val="28"/>
          <w:szCs w:val="28"/>
          <w:lang w:val="en-US"/>
        </w:rPr>
        <w:t xml:space="preserve">. </w:t>
      </w:r>
      <w:r w:rsidR="00DB7321">
        <w:rPr>
          <w:rFonts w:eastAsia="仿宋_GB2312"/>
          <w:bCs/>
          <w:sz w:val="28"/>
          <w:szCs w:val="28"/>
          <w:lang w:val="en-US"/>
        </w:rPr>
        <w:t>The Company is focusing on preparing fundraising documents and seeks to achieve initial close by Q1 2019</w:t>
      </w:r>
      <w:r w:rsidR="005712DD" w:rsidRPr="005712DD">
        <w:rPr>
          <w:rFonts w:eastAsia="仿宋_GB2312"/>
          <w:bCs/>
          <w:sz w:val="28"/>
          <w:szCs w:val="28"/>
          <w:lang w:val="en-US"/>
        </w:rPr>
        <w:t>.</w:t>
      </w:r>
    </w:p>
    <w:p w14:paraId="664927C3" w14:textId="16469D2F" w:rsidR="005712DD" w:rsidRPr="006A7FD4" w:rsidRDefault="005712DD" w:rsidP="00E0653B">
      <w:pPr>
        <w:tabs>
          <w:tab w:val="left" w:pos="330"/>
        </w:tabs>
        <w:spacing w:before="220" w:after="220" w:line="360" w:lineRule="auto"/>
        <w:jc w:val="both"/>
        <w:rPr>
          <w:rFonts w:eastAsia="仿宋_GB2312"/>
          <w:b/>
          <w:bCs/>
          <w:sz w:val="28"/>
          <w:szCs w:val="28"/>
          <w:lang w:val="en-US"/>
        </w:rPr>
      </w:pPr>
      <w:r w:rsidRPr="006A7FD4">
        <w:rPr>
          <w:rFonts w:eastAsia="仿宋_GB2312"/>
          <w:b/>
          <w:bCs/>
          <w:sz w:val="28"/>
          <w:szCs w:val="28"/>
          <w:lang w:val="en-US"/>
        </w:rPr>
        <w:t>BIG DATA FUND</w:t>
      </w:r>
    </w:p>
    <w:p w14:paraId="1787C172" w14:textId="201B4AB7" w:rsidR="005712DD" w:rsidRPr="005712DD" w:rsidRDefault="006F2845" w:rsidP="009A2AEF">
      <w:pPr>
        <w:spacing w:line="360" w:lineRule="auto"/>
        <w:jc w:val="both"/>
        <w:rPr>
          <w:rFonts w:eastAsia="仿宋_GB2312"/>
          <w:bCs/>
          <w:sz w:val="28"/>
          <w:szCs w:val="28"/>
          <w:lang w:val="en-US"/>
        </w:rPr>
      </w:pPr>
      <w:r>
        <w:rPr>
          <w:rFonts w:eastAsia="仿宋_GB2312"/>
          <w:bCs/>
          <w:sz w:val="28"/>
          <w:szCs w:val="28"/>
          <w:lang w:val="en-US"/>
        </w:rPr>
        <w:t>The C</w:t>
      </w:r>
      <w:r w:rsidR="005712DD" w:rsidRPr="005712DD">
        <w:rPr>
          <w:rFonts w:eastAsia="仿宋_GB2312"/>
          <w:bCs/>
          <w:sz w:val="28"/>
          <w:szCs w:val="28"/>
          <w:lang w:val="en-US"/>
        </w:rPr>
        <w:t xml:space="preserve">ompany plans to cooperate with </w:t>
      </w:r>
      <w:r>
        <w:rPr>
          <w:rFonts w:eastAsia="仿宋_GB2312"/>
          <w:bCs/>
          <w:sz w:val="28"/>
          <w:szCs w:val="28"/>
          <w:lang w:val="en-US"/>
        </w:rPr>
        <w:t>t</w:t>
      </w:r>
      <w:r w:rsidR="00D151E7">
        <w:rPr>
          <w:rFonts w:eastAsia="仿宋_GB2312"/>
          <w:bCs/>
          <w:sz w:val="28"/>
          <w:szCs w:val="28"/>
          <w:lang w:val="en-US"/>
        </w:rPr>
        <w:t xml:space="preserve">he </w:t>
      </w:r>
      <w:r w:rsidR="005712DD" w:rsidRPr="005712DD">
        <w:rPr>
          <w:rFonts w:eastAsia="仿宋_GB2312"/>
          <w:bCs/>
          <w:sz w:val="28"/>
          <w:szCs w:val="28"/>
          <w:lang w:val="en-US"/>
        </w:rPr>
        <w:t>Shenzhen</w:t>
      </w:r>
      <w:r>
        <w:rPr>
          <w:rFonts w:eastAsia="仿宋_GB2312"/>
          <w:bCs/>
          <w:sz w:val="28"/>
          <w:szCs w:val="28"/>
          <w:lang w:val="en-US"/>
        </w:rPr>
        <w:t xml:space="preserve"> g</w:t>
      </w:r>
      <w:r w:rsidR="00D151E7">
        <w:rPr>
          <w:rFonts w:eastAsia="仿宋_GB2312"/>
          <w:bCs/>
          <w:sz w:val="28"/>
          <w:szCs w:val="28"/>
          <w:lang w:val="en-US"/>
        </w:rPr>
        <w:t>overnment’s</w:t>
      </w:r>
      <w:r w:rsidR="005712DD" w:rsidRPr="005712DD">
        <w:rPr>
          <w:rFonts w:eastAsia="仿宋_GB2312"/>
          <w:bCs/>
          <w:sz w:val="28"/>
          <w:szCs w:val="28"/>
          <w:lang w:val="en-US"/>
        </w:rPr>
        <w:t xml:space="preserve"> Innovation Branch and </w:t>
      </w:r>
      <w:proofErr w:type="spellStart"/>
      <w:r w:rsidR="005712DD" w:rsidRPr="005712DD">
        <w:rPr>
          <w:rFonts w:eastAsia="仿宋_GB2312"/>
          <w:bCs/>
          <w:sz w:val="28"/>
          <w:szCs w:val="28"/>
          <w:lang w:val="en-US"/>
        </w:rPr>
        <w:t>Longgang</w:t>
      </w:r>
      <w:proofErr w:type="spellEnd"/>
      <w:r w:rsidR="005712DD" w:rsidRPr="005712DD">
        <w:rPr>
          <w:rFonts w:eastAsia="仿宋_GB2312"/>
          <w:bCs/>
          <w:sz w:val="28"/>
          <w:szCs w:val="28"/>
          <w:lang w:val="en-US"/>
        </w:rPr>
        <w:t xml:space="preserve"> Financial </w:t>
      </w:r>
      <w:r w:rsidR="00D151E7">
        <w:rPr>
          <w:rFonts w:eastAsia="仿宋_GB2312"/>
          <w:bCs/>
          <w:sz w:val="28"/>
          <w:szCs w:val="28"/>
          <w:lang w:val="en-US"/>
        </w:rPr>
        <w:t xml:space="preserve">Holding </w:t>
      </w:r>
      <w:r w:rsidR="005712DD" w:rsidRPr="005712DD">
        <w:rPr>
          <w:rFonts w:eastAsia="仿宋_GB2312"/>
          <w:bCs/>
          <w:sz w:val="28"/>
          <w:szCs w:val="28"/>
          <w:lang w:val="en-US"/>
        </w:rPr>
        <w:t xml:space="preserve">to establish </w:t>
      </w:r>
      <w:r w:rsidR="007B054C">
        <w:rPr>
          <w:rFonts w:eastAsia="仿宋_GB2312"/>
          <w:bCs/>
          <w:sz w:val="28"/>
          <w:szCs w:val="28"/>
          <w:lang w:val="en-US"/>
        </w:rPr>
        <w:t>an</w:t>
      </w:r>
      <w:r w:rsidR="00D151E7">
        <w:rPr>
          <w:rFonts w:eastAsia="仿宋_GB2312"/>
          <w:bCs/>
          <w:sz w:val="28"/>
          <w:szCs w:val="28"/>
          <w:lang w:val="en-US"/>
        </w:rPr>
        <w:t xml:space="preserve"> </w:t>
      </w:r>
      <w:r w:rsidR="007B054C" w:rsidRPr="005712DD">
        <w:rPr>
          <w:rFonts w:eastAsia="仿宋_GB2312"/>
          <w:bCs/>
          <w:sz w:val="28"/>
          <w:szCs w:val="28"/>
          <w:lang w:val="en-US"/>
        </w:rPr>
        <w:t>RMB 3 billion</w:t>
      </w:r>
      <w:r w:rsidR="007B054C">
        <w:rPr>
          <w:rFonts w:eastAsia="仿宋_GB2312"/>
          <w:bCs/>
          <w:sz w:val="28"/>
          <w:szCs w:val="28"/>
          <w:lang w:val="en-US"/>
        </w:rPr>
        <w:t xml:space="preserve"> </w:t>
      </w:r>
      <w:r w:rsidR="00D151E7">
        <w:rPr>
          <w:rFonts w:eastAsia="仿宋_GB2312"/>
          <w:bCs/>
          <w:sz w:val="28"/>
          <w:szCs w:val="28"/>
          <w:lang w:val="en-US"/>
        </w:rPr>
        <w:t>Big Data I</w:t>
      </w:r>
      <w:r w:rsidR="005712DD" w:rsidRPr="005712DD">
        <w:rPr>
          <w:rFonts w:eastAsia="仿宋_GB2312"/>
          <w:bCs/>
          <w:sz w:val="28"/>
          <w:szCs w:val="28"/>
          <w:lang w:val="en-US"/>
        </w:rPr>
        <w:t>n</w:t>
      </w:r>
      <w:r w:rsidR="00D151E7">
        <w:rPr>
          <w:rFonts w:eastAsia="仿宋_GB2312"/>
          <w:bCs/>
          <w:sz w:val="28"/>
          <w:szCs w:val="28"/>
          <w:lang w:val="en-US"/>
        </w:rPr>
        <w:t>dustry F</w:t>
      </w:r>
      <w:r w:rsidR="005712DD" w:rsidRPr="005712DD">
        <w:rPr>
          <w:rFonts w:eastAsia="仿宋_GB2312"/>
          <w:bCs/>
          <w:sz w:val="28"/>
          <w:szCs w:val="28"/>
          <w:lang w:val="en-US"/>
        </w:rPr>
        <w:t>und</w:t>
      </w:r>
      <w:r w:rsidR="00D151E7">
        <w:rPr>
          <w:rFonts w:eastAsia="仿宋_GB2312"/>
          <w:bCs/>
          <w:sz w:val="28"/>
          <w:szCs w:val="28"/>
          <w:lang w:val="en-US"/>
        </w:rPr>
        <w:t xml:space="preserve">. </w:t>
      </w:r>
      <w:proofErr w:type="spellStart"/>
      <w:r w:rsidR="005712DD" w:rsidRPr="005712DD">
        <w:rPr>
          <w:rFonts w:eastAsia="仿宋_GB2312"/>
          <w:bCs/>
          <w:sz w:val="28"/>
          <w:szCs w:val="28"/>
          <w:lang w:val="en-US"/>
        </w:rPr>
        <w:t>Longgang</w:t>
      </w:r>
      <w:proofErr w:type="spellEnd"/>
      <w:r w:rsidR="005712DD" w:rsidRPr="005712DD">
        <w:rPr>
          <w:rFonts w:eastAsia="仿宋_GB2312"/>
          <w:bCs/>
          <w:sz w:val="28"/>
          <w:szCs w:val="28"/>
          <w:lang w:val="en-US"/>
        </w:rPr>
        <w:t xml:space="preserve"> Financial </w:t>
      </w:r>
      <w:r w:rsidR="00D151E7">
        <w:rPr>
          <w:rFonts w:eastAsia="仿宋_GB2312"/>
          <w:bCs/>
          <w:sz w:val="28"/>
          <w:szCs w:val="28"/>
          <w:lang w:val="en-US"/>
        </w:rPr>
        <w:t>Holding</w:t>
      </w:r>
      <w:r w:rsidR="005712DD" w:rsidRPr="005712DD">
        <w:rPr>
          <w:rFonts w:eastAsia="仿宋_GB2312"/>
          <w:bCs/>
          <w:sz w:val="28"/>
          <w:szCs w:val="28"/>
          <w:lang w:val="en-US"/>
        </w:rPr>
        <w:t xml:space="preserve"> and </w:t>
      </w:r>
      <w:r w:rsidR="00D151E7">
        <w:rPr>
          <w:rFonts w:eastAsia="仿宋_GB2312"/>
          <w:bCs/>
          <w:sz w:val="28"/>
          <w:szCs w:val="28"/>
          <w:lang w:val="en-US"/>
        </w:rPr>
        <w:t xml:space="preserve">the </w:t>
      </w:r>
      <w:r w:rsidR="005712DD" w:rsidRPr="005712DD">
        <w:rPr>
          <w:rFonts w:eastAsia="仿宋_GB2312"/>
          <w:bCs/>
          <w:sz w:val="28"/>
          <w:szCs w:val="28"/>
          <w:lang w:val="en-US"/>
        </w:rPr>
        <w:t xml:space="preserve">Innovation </w:t>
      </w:r>
      <w:r w:rsidR="00D151E7">
        <w:rPr>
          <w:rFonts w:eastAsia="仿宋_GB2312"/>
          <w:bCs/>
          <w:sz w:val="28"/>
          <w:szCs w:val="28"/>
          <w:lang w:val="en-US"/>
        </w:rPr>
        <w:t>Branch</w:t>
      </w:r>
      <w:r>
        <w:rPr>
          <w:rFonts w:eastAsia="仿宋_GB2312"/>
          <w:bCs/>
          <w:sz w:val="28"/>
          <w:szCs w:val="28"/>
          <w:lang w:val="en-US"/>
        </w:rPr>
        <w:t xml:space="preserve"> will contribute 20% and 10%, respectively, </w:t>
      </w:r>
      <w:r w:rsidR="005712DD" w:rsidRPr="005712DD">
        <w:rPr>
          <w:rFonts w:eastAsia="仿宋_GB2312"/>
          <w:bCs/>
          <w:sz w:val="28"/>
          <w:szCs w:val="28"/>
          <w:lang w:val="en-US"/>
        </w:rPr>
        <w:t>to the fund as cornerstone investor</w:t>
      </w:r>
      <w:r>
        <w:rPr>
          <w:rFonts w:eastAsia="仿宋_GB2312"/>
          <w:bCs/>
          <w:sz w:val="28"/>
          <w:szCs w:val="28"/>
          <w:lang w:val="en-US"/>
        </w:rPr>
        <w:t>s. T</w:t>
      </w:r>
      <w:r w:rsidR="005712DD" w:rsidRPr="005712DD">
        <w:rPr>
          <w:rFonts w:eastAsia="仿宋_GB2312"/>
          <w:bCs/>
          <w:sz w:val="28"/>
          <w:szCs w:val="28"/>
          <w:lang w:val="en-US"/>
        </w:rPr>
        <w:t>he</w:t>
      </w:r>
      <w:r w:rsidR="007B054C">
        <w:rPr>
          <w:rFonts w:eastAsia="仿宋_GB2312"/>
          <w:bCs/>
          <w:sz w:val="28"/>
          <w:szCs w:val="28"/>
          <w:lang w:val="en-US"/>
        </w:rPr>
        <w:t xml:space="preserve"> Company will need to raise the</w:t>
      </w:r>
      <w:r w:rsidR="005712DD" w:rsidRPr="005712DD">
        <w:rPr>
          <w:rFonts w:eastAsia="仿宋_GB2312"/>
          <w:bCs/>
          <w:sz w:val="28"/>
          <w:szCs w:val="28"/>
          <w:lang w:val="en-US"/>
        </w:rPr>
        <w:t xml:space="preserve"> remainin</w:t>
      </w:r>
      <w:r w:rsidR="00D151E7">
        <w:rPr>
          <w:rFonts w:eastAsia="仿宋_GB2312"/>
          <w:bCs/>
          <w:sz w:val="28"/>
          <w:szCs w:val="28"/>
          <w:lang w:val="en-US"/>
        </w:rPr>
        <w:t>g 70%.</w:t>
      </w:r>
    </w:p>
    <w:p w14:paraId="5F299B84" w14:textId="520E088D" w:rsidR="00E0653B" w:rsidRDefault="00E0653B" w:rsidP="00E0653B">
      <w:pPr>
        <w:tabs>
          <w:tab w:val="left" w:pos="330"/>
        </w:tabs>
        <w:spacing w:before="220" w:after="220" w:line="360" w:lineRule="auto"/>
        <w:jc w:val="both"/>
        <w:rPr>
          <w:rFonts w:eastAsia="仿宋_GB2312"/>
          <w:b/>
          <w:bCs/>
          <w:sz w:val="28"/>
          <w:szCs w:val="28"/>
          <w:lang w:val="en-US"/>
        </w:rPr>
      </w:pPr>
      <w:r w:rsidRPr="00FA2B7E">
        <w:rPr>
          <w:rFonts w:eastAsia="仿宋_GB2312"/>
          <w:b/>
          <w:bCs/>
          <w:sz w:val="28"/>
          <w:szCs w:val="28"/>
          <w:lang w:val="en-US"/>
        </w:rPr>
        <w:t>V</w:t>
      </w:r>
      <w:r w:rsidR="005712DD" w:rsidRPr="00FA2B7E">
        <w:rPr>
          <w:rFonts w:eastAsia="仿宋_GB2312"/>
          <w:b/>
          <w:bCs/>
          <w:sz w:val="28"/>
          <w:szCs w:val="28"/>
          <w:lang w:val="en-US"/>
        </w:rPr>
        <w:t>I</w:t>
      </w:r>
      <w:r w:rsidRPr="00FA2B7E">
        <w:rPr>
          <w:rFonts w:eastAsia="仿宋_GB2312"/>
          <w:b/>
          <w:bCs/>
          <w:sz w:val="28"/>
          <w:szCs w:val="28"/>
          <w:lang w:val="en-US"/>
        </w:rPr>
        <w:t xml:space="preserve">. Post-Investment </w:t>
      </w:r>
      <w:r w:rsidR="007B054C">
        <w:rPr>
          <w:rFonts w:eastAsia="仿宋_GB2312"/>
          <w:b/>
          <w:bCs/>
          <w:sz w:val="28"/>
          <w:szCs w:val="28"/>
          <w:lang w:val="en-US"/>
        </w:rPr>
        <w:t>Matters</w:t>
      </w:r>
    </w:p>
    <w:p w14:paraId="5A400EE9" w14:textId="2E5ED701" w:rsidR="00E0653B" w:rsidRPr="0089107B" w:rsidRDefault="0089107B" w:rsidP="00E0653B">
      <w:pPr>
        <w:tabs>
          <w:tab w:val="left" w:pos="330"/>
        </w:tabs>
        <w:spacing w:before="220" w:after="220" w:line="360" w:lineRule="auto"/>
        <w:jc w:val="both"/>
        <w:rPr>
          <w:rFonts w:eastAsia="仿宋_GB2312"/>
          <w:b/>
          <w:bCs/>
          <w:sz w:val="28"/>
          <w:szCs w:val="28"/>
          <w:lang w:val="en-US"/>
        </w:rPr>
      </w:pPr>
      <w:r w:rsidRPr="0089107B">
        <w:rPr>
          <w:rFonts w:eastAsia="仿宋_GB2312"/>
          <w:b/>
          <w:bCs/>
          <w:sz w:val="28"/>
          <w:szCs w:val="28"/>
          <w:lang w:val="en-US"/>
        </w:rPr>
        <w:t>SINOPEC MARKETING COMPANY</w:t>
      </w:r>
      <w:r w:rsidR="00471701">
        <w:rPr>
          <w:rFonts w:eastAsia="仿宋_GB2312"/>
          <w:b/>
          <w:bCs/>
          <w:sz w:val="28"/>
          <w:szCs w:val="28"/>
          <w:lang w:val="en-US"/>
        </w:rPr>
        <w:t xml:space="preserve"> (SMC)</w:t>
      </w:r>
    </w:p>
    <w:p w14:paraId="2FD5C34F" w14:textId="025207C5" w:rsidR="00E0653B" w:rsidRPr="001100D8" w:rsidRDefault="00E900E4" w:rsidP="009A2AEF">
      <w:pPr>
        <w:spacing w:line="360" w:lineRule="auto"/>
        <w:jc w:val="both"/>
        <w:rPr>
          <w:rFonts w:eastAsia="仿宋_GB2312"/>
          <w:bCs/>
          <w:sz w:val="28"/>
          <w:szCs w:val="28"/>
          <w:lang w:val="en-US"/>
        </w:rPr>
      </w:pPr>
      <w:r>
        <w:rPr>
          <w:rFonts w:eastAsia="仿宋_GB2312"/>
          <w:bCs/>
          <w:sz w:val="28"/>
          <w:szCs w:val="28"/>
          <w:lang w:val="en-US"/>
        </w:rPr>
        <w:t>For the year</w:t>
      </w:r>
      <w:r w:rsidRPr="00F96253">
        <w:rPr>
          <w:rFonts w:eastAsia="仿宋_GB2312"/>
          <w:bCs/>
          <w:sz w:val="28"/>
          <w:szCs w:val="28"/>
          <w:lang w:val="en-US"/>
        </w:rPr>
        <w:t xml:space="preserve"> </w:t>
      </w:r>
      <w:r w:rsidR="00F96253" w:rsidRPr="00F96253">
        <w:rPr>
          <w:rFonts w:eastAsia="仿宋_GB2312"/>
          <w:bCs/>
          <w:sz w:val="28"/>
          <w:szCs w:val="28"/>
          <w:lang w:val="en-US"/>
        </w:rPr>
        <w:t xml:space="preserve">2018, </w:t>
      </w:r>
      <w:r w:rsidR="00C22F52">
        <w:rPr>
          <w:rFonts w:eastAsia="仿宋_GB2312"/>
          <w:bCs/>
          <w:sz w:val="28"/>
          <w:szCs w:val="28"/>
          <w:lang w:val="en-US"/>
        </w:rPr>
        <w:t xml:space="preserve">SMC </w:t>
      </w:r>
      <w:r>
        <w:rPr>
          <w:rFonts w:eastAsia="仿宋_GB2312"/>
          <w:bCs/>
          <w:sz w:val="28"/>
          <w:szCs w:val="28"/>
          <w:lang w:val="en-US"/>
        </w:rPr>
        <w:t>maintained steady operations and achieved stable</w:t>
      </w:r>
      <w:r w:rsidR="00F96253" w:rsidRPr="00F96253">
        <w:rPr>
          <w:rFonts w:eastAsia="仿宋_GB2312"/>
          <w:bCs/>
          <w:sz w:val="28"/>
          <w:szCs w:val="28"/>
          <w:lang w:val="en-US"/>
        </w:rPr>
        <w:t xml:space="preserve"> performance. </w:t>
      </w:r>
      <w:r>
        <w:rPr>
          <w:rFonts w:eastAsia="仿宋_GB2312"/>
          <w:bCs/>
          <w:sz w:val="28"/>
          <w:szCs w:val="28"/>
          <w:lang w:val="en-US"/>
        </w:rPr>
        <w:t>A</w:t>
      </w:r>
      <w:r w:rsidR="00F96253" w:rsidRPr="00F96253">
        <w:rPr>
          <w:rFonts w:eastAsia="仿宋_GB2312"/>
          <w:bCs/>
          <w:sz w:val="28"/>
          <w:szCs w:val="28"/>
          <w:lang w:val="en-US"/>
        </w:rPr>
        <w:t xml:space="preserve">ccumulated operating income </w:t>
      </w:r>
      <w:r>
        <w:rPr>
          <w:rFonts w:eastAsia="仿宋_GB2312"/>
          <w:bCs/>
          <w:sz w:val="28"/>
          <w:szCs w:val="28"/>
          <w:lang w:val="en-US"/>
        </w:rPr>
        <w:t>for</w:t>
      </w:r>
      <w:r w:rsidRPr="00F96253">
        <w:rPr>
          <w:rFonts w:eastAsia="仿宋_GB2312"/>
          <w:bCs/>
          <w:sz w:val="28"/>
          <w:szCs w:val="28"/>
          <w:lang w:val="en-US"/>
        </w:rPr>
        <w:t xml:space="preserve"> </w:t>
      </w:r>
      <w:r w:rsidR="00F96253" w:rsidRPr="00F96253">
        <w:rPr>
          <w:rFonts w:eastAsia="仿宋_GB2312"/>
          <w:bCs/>
          <w:sz w:val="28"/>
          <w:szCs w:val="28"/>
          <w:lang w:val="en-US"/>
        </w:rPr>
        <w:t xml:space="preserve">the first three quarters was </w:t>
      </w:r>
      <w:r w:rsidR="00C22F52">
        <w:rPr>
          <w:rFonts w:eastAsia="仿宋_GB2312"/>
          <w:bCs/>
          <w:sz w:val="28"/>
          <w:szCs w:val="28"/>
          <w:lang w:val="en-US"/>
        </w:rPr>
        <w:t xml:space="preserve">RMB </w:t>
      </w:r>
      <w:r w:rsidR="00F96253" w:rsidRPr="00F96253">
        <w:rPr>
          <w:rFonts w:eastAsia="仿宋_GB2312"/>
          <w:bCs/>
          <w:sz w:val="28"/>
          <w:szCs w:val="28"/>
          <w:lang w:val="en-US"/>
        </w:rPr>
        <w:t>1</w:t>
      </w:r>
      <w:r>
        <w:rPr>
          <w:rFonts w:eastAsia="仿宋_GB2312"/>
          <w:bCs/>
          <w:sz w:val="28"/>
          <w:szCs w:val="28"/>
          <w:lang w:val="en-US"/>
        </w:rPr>
        <w:t>.</w:t>
      </w:r>
      <w:r w:rsidR="00F96253" w:rsidRPr="00F96253">
        <w:rPr>
          <w:rFonts w:eastAsia="仿宋_GB2312"/>
          <w:bCs/>
          <w:sz w:val="28"/>
          <w:szCs w:val="28"/>
          <w:lang w:val="en-US"/>
        </w:rPr>
        <w:t xml:space="preserve">0551 </w:t>
      </w:r>
      <w:r>
        <w:rPr>
          <w:rFonts w:eastAsia="仿宋_GB2312"/>
          <w:bCs/>
          <w:sz w:val="28"/>
          <w:szCs w:val="28"/>
          <w:lang w:val="en-US"/>
        </w:rPr>
        <w:t>tr</w:t>
      </w:r>
      <w:r w:rsidRPr="00F96253">
        <w:rPr>
          <w:rFonts w:eastAsia="仿宋_GB2312"/>
          <w:bCs/>
          <w:sz w:val="28"/>
          <w:szCs w:val="28"/>
          <w:lang w:val="en-US"/>
        </w:rPr>
        <w:t>illion</w:t>
      </w:r>
      <w:r w:rsidR="00C22F52">
        <w:rPr>
          <w:rFonts w:eastAsia="仿宋_GB2312"/>
          <w:bCs/>
          <w:sz w:val="28"/>
          <w:szCs w:val="28"/>
          <w:lang w:val="en-US"/>
        </w:rPr>
        <w:t>, up 16.1% YOY</w:t>
      </w:r>
      <w:r w:rsidR="00F96253" w:rsidRPr="00F96253">
        <w:rPr>
          <w:rFonts w:eastAsia="仿宋_GB2312"/>
          <w:bCs/>
          <w:sz w:val="28"/>
          <w:szCs w:val="28"/>
          <w:lang w:val="en-US"/>
        </w:rPr>
        <w:t xml:space="preserve">; accumulated net profit was </w:t>
      </w:r>
      <w:r w:rsidR="00C22F52">
        <w:rPr>
          <w:rFonts w:eastAsia="仿宋_GB2312"/>
          <w:bCs/>
          <w:sz w:val="28"/>
          <w:szCs w:val="28"/>
          <w:lang w:val="en-US"/>
        </w:rPr>
        <w:t xml:space="preserve">RMB </w:t>
      </w:r>
      <w:r w:rsidR="00F96253" w:rsidRPr="00F96253">
        <w:rPr>
          <w:rFonts w:eastAsia="仿宋_GB2312"/>
          <w:bCs/>
          <w:sz w:val="28"/>
          <w:szCs w:val="28"/>
          <w:lang w:val="en-US"/>
        </w:rPr>
        <w:t xml:space="preserve">19.1 billion, up 0.47% </w:t>
      </w:r>
      <w:r w:rsidR="00C22F52">
        <w:rPr>
          <w:rFonts w:eastAsia="仿宋_GB2312"/>
          <w:bCs/>
          <w:sz w:val="28"/>
          <w:szCs w:val="28"/>
          <w:lang w:val="en-US"/>
        </w:rPr>
        <w:t>YOY</w:t>
      </w:r>
      <w:r w:rsidR="00F96253" w:rsidRPr="00F96253">
        <w:rPr>
          <w:rFonts w:eastAsia="仿宋_GB2312"/>
          <w:bCs/>
          <w:sz w:val="28"/>
          <w:szCs w:val="28"/>
          <w:lang w:val="en-US"/>
        </w:rPr>
        <w:t xml:space="preserve">. </w:t>
      </w:r>
      <w:r w:rsidR="0060435F">
        <w:rPr>
          <w:rFonts w:eastAsia="仿宋_GB2312"/>
          <w:bCs/>
          <w:sz w:val="28"/>
          <w:szCs w:val="28"/>
          <w:lang w:val="en-US"/>
        </w:rPr>
        <w:t xml:space="preserve"> </w:t>
      </w:r>
      <w:r w:rsidR="00C1399E">
        <w:rPr>
          <w:rFonts w:eastAsia="仿宋_GB2312"/>
          <w:bCs/>
          <w:sz w:val="28"/>
          <w:szCs w:val="28"/>
          <w:lang w:val="en-US"/>
        </w:rPr>
        <w:t>After</w:t>
      </w:r>
      <w:r w:rsidR="0060435F">
        <w:rPr>
          <w:rFonts w:eastAsia="仿宋_GB2312"/>
          <w:bCs/>
          <w:sz w:val="28"/>
          <w:szCs w:val="28"/>
          <w:lang w:val="en-US"/>
        </w:rPr>
        <w:t xml:space="preserve"> encounter</w:t>
      </w:r>
      <w:r w:rsidR="00C1399E">
        <w:rPr>
          <w:rFonts w:eastAsia="仿宋_GB2312"/>
          <w:bCs/>
          <w:sz w:val="28"/>
          <w:szCs w:val="28"/>
          <w:lang w:val="en-US"/>
        </w:rPr>
        <w:t>ing</w:t>
      </w:r>
      <w:r w:rsidR="0060435F">
        <w:rPr>
          <w:rFonts w:eastAsia="仿宋_GB2312"/>
          <w:bCs/>
          <w:sz w:val="28"/>
          <w:szCs w:val="28"/>
          <w:lang w:val="en-US"/>
        </w:rPr>
        <w:t xml:space="preserve"> certain</w:t>
      </w:r>
      <w:r w:rsidR="00F96253" w:rsidRPr="00F96253">
        <w:rPr>
          <w:rFonts w:eastAsia="仿宋_GB2312"/>
          <w:bCs/>
          <w:sz w:val="28"/>
          <w:szCs w:val="28"/>
          <w:lang w:val="en-US"/>
        </w:rPr>
        <w:t xml:space="preserve"> obstacles in </w:t>
      </w:r>
      <w:r w:rsidR="0060435F">
        <w:rPr>
          <w:rFonts w:eastAsia="仿宋_GB2312"/>
          <w:bCs/>
          <w:sz w:val="28"/>
          <w:szCs w:val="28"/>
          <w:lang w:val="en-US"/>
        </w:rPr>
        <w:t xml:space="preserve">its share restructuring plan and listing </w:t>
      </w:r>
      <w:r w:rsidR="00F96253" w:rsidRPr="00F96253">
        <w:rPr>
          <w:rFonts w:eastAsia="仿宋_GB2312"/>
          <w:bCs/>
          <w:sz w:val="28"/>
          <w:szCs w:val="28"/>
          <w:lang w:val="en-US"/>
        </w:rPr>
        <w:t xml:space="preserve">application last year, </w:t>
      </w:r>
      <w:r w:rsidR="00C1399E">
        <w:rPr>
          <w:rFonts w:eastAsia="仿宋_GB2312"/>
          <w:bCs/>
          <w:sz w:val="28"/>
          <w:szCs w:val="28"/>
          <w:lang w:val="en-US"/>
        </w:rPr>
        <w:t xml:space="preserve">SMC underwent a new </w:t>
      </w:r>
      <w:r w:rsidR="00F96253" w:rsidRPr="00F96253">
        <w:rPr>
          <w:rFonts w:eastAsia="仿宋_GB2312"/>
          <w:bCs/>
          <w:sz w:val="28"/>
          <w:szCs w:val="28"/>
          <w:lang w:val="en-US"/>
        </w:rPr>
        <w:t xml:space="preserve">asset valuation and </w:t>
      </w:r>
      <w:r w:rsidR="00C1399E" w:rsidRPr="00F96253">
        <w:rPr>
          <w:rFonts w:eastAsia="仿宋_GB2312"/>
          <w:bCs/>
          <w:sz w:val="28"/>
          <w:szCs w:val="28"/>
          <w:lang w:val="en-US"/>
        </w:rPr>
        <w:t>re</w:t>
      </w:r>
      <w:r w:rsidR="00C1399E">
        <w:rPr>
          <w:rFonts w:eastAsia="仿宋_GB2312"/>
          <w:bCs/>
          <w:sz w:val="28"/>
          <w:szCs w:val="28"/>
          <w:lang w:val="en-US"/>
        </w:rPr>
        <w:t>initiated</w:t>
      </w:r>
      <w:r w:rsidR="00C1399E" w:rsidRPr="00F96253">
        <w:rPr>
          <w:rFonts w:eastAsia="仿宋_GB2312"/>
          <w:bCs/>
          <w:sz w:val="28"/>
          <w:szCs w:val="28"/>
          <w:lang w:val="en-US"/>
        </w:rPr>
        <w:t xml:space="preserve"> </w:t>
      </w:r>
      <w:r w:rsidR="00F96253" w:rsidRPr="00F96253">
        <w:rPr>
          <w:rFonts w:eastAsia="仿宋_GB2312"/>
          <w:bCs/>
          <w:sz w:val="28"/>
          <w:szCs w:val="28"/>
          <w:lang w:val="en-US"/>
        </w:rPr>
        <w:t xml:space="preserve">the share </w:t>
      </w:r>
      <w:r w:rsidR="00C1399E">
        <w:rPr>
          <w:rFonts w:eastAsia="仿宋_GB2312"/>
          <w:bCs/>
          <w:sz w:val="28"/>
          <w:szCs w:val="28"/>
          <w:lang w:val="en-US"/>
        </w:rPr>
        <w:t xml:space="preserve">restructuring </w:t>
      </w:r>
      <w:r w:rsidR="00C1399E">
        <w:rPr>
          <w:rFonts w:eastAsia="仿宋_GB2312"/>
          <w:bCs/>
          <w:sz w:val="28"/>
          <w:szCs w:val="28"/>
          <w:lang w:val="en-US"/>
        </w:rPr>
        <w:lastRenderedPageBreak/>
        <w:t>work necessary to enable it to list its shares</w:t>
      </w:r>
      <w:r w:rsidR="00521685">
        <w:rPr>
          <w:rFonts w:eastAsia="仿宋_GB2312"/>
          <w:bCs/>
          <w:sz w:val="28"/>
          <w:szCs w:val="28"/>
          <w:lang w:val="en-US"/>
        </w:rPr>
        <w:t>.</w:t>
      </w:r>
      <w:r w:rsidR="00C1399E">
        <w:rPr>
          <w:rFonts w:eastAsia="仿宋_GB2312"/>
          <w:bCs/>
          <w:sz w:val="28"/>
          <w:szCs w:val="28"/>
          <w:lang w:val="en-US"/>
        </w:rPr>
        <w:t xml:space="preserve"> </w:t>
      </w:r>
      <w:r w:rsidR="00521685">
        <w:rPr>
          <w:rFonts w:eastAsia="仿宋_GB2312"/>
          <w:bCs/>
          <w:sz w:val="28"/>
          <w:szCs w:val="28"/>
          <w:lang w:val="en-US"/>
        </w:rPr>
        <w:t xml:space="preserve"> G</w:t>
      </w:r>
      <w:r w:rsidR="00C1399E">
        <w:rPr>
          <w:rFonts w:eastAsia="仿宋_GB2312"/>
          <w:bCs/>
          <w:sz w:val="28"/>
          <w:szCs w:val="28"/>
          <w:lang w:val="en-US"/>
        </w:rPr>
        <w:t xml:space="preserve">iven the </w:t>
      </w:r>
      <w:r w:rsidR="00521685">
        <w:rPr>
          <w:rFonts w:eastAsia="仿宋_GB2312"/>
          <w:bCs/>
          <w:sz w:val="28"/>
          <w:szCs w:val="28"/>
          <w:lang w:val="en-US"/>
        </w:rPr>
        <w:t>foregoing</w:t>
      </w:r>
      <w:r w:rsidR="00C1399E">
        <w:rPr>
          <w:rFonts w:eastAsia="仿宋_GB2312"/>
          <w:bCs/>
          <w:sz w:val="28"/>
          <w:szCs w:val="28"/>
          <w:lang w:val="en-US"/>
        </w:rPr>
        <w:t>, it is expected that the listing will be</w:t>
      </w:r>
      <w:r w:rsidR="00F96253" w:rsidRPr="00F96253">
        <w:rPr>
          <w:rFonts w:eastAsia="仿宋_GB2312"/>
          <w:bCs/>
          <w:sz w:val="28"/>
          <w:szCs w:val="28"/>
          <w:lang w:val="en-US"/>
        </w:rPr>
        <w:t xml:space="preserve"> delayed by at least one year comp</w:t>
      </w:r>
      <w:r w:rsidR="00C22F52">
        <w:rPr>
          <w:rFonts w:eastAsia="仿宋_GB2312"/>
          <w:bCs/>
          <w:sz w:val="28"/>
          <w:szCs w:val="28"/>
          <w:lang w:val="en-US"/>
        </w:rPr>
        <w:t xml:space="preserve">ared with the </w:t>
      </w:r>
      <w:r w:rsidR="00842203">
        <w:rPr>
          <w:rFonts w:eastAsia="仿宋_GB2312"/>
          <w:bCs/>
          <w:sz w:val="28"/>
          <w:szCs w:val="28"/>
          <w:lang w:val="en-US"/>
        </w:rPr>
        <w:t>previous</w:t>
      </w:r>
      <w:r w:rsidR="00C1399E">
        <w:rPr>
          <w:rFonts w:eastAsia="仿宋_GB2312"/>
          <w:bCs/>
          <w:sz w:val="28"/>
          <w:szCs w:val="28"/>
          <w:lang w:val="en-US"/>
        </w:rPr>
        <w:t>ly</w:t>
      </w:r>
      <w:r w:rsidR="00842203">
        <w:rPr>
          <w:rFonts w:eastAsia="仿宋_GB2312"/>
          <w:bCs/>
          <w:sz w:val="28"/>
          <w:szCs w:val="28"/>
          <w:lang w:val="en-US"/>
        </w:rPr>
        <w:t xml:space="preserve"> </w:t>
      </w:r>
      <w:r w:rsidR="00C22F52">
        <w:rPr>
          <w:rFonts w:eastAsia="仿宋_GB2312"/>
          <w:bCs/>
          <w:sz w:val="28"/>
          <w:szCs w:val="28"/>
          <w:lang w:val="en-US"/>
        </w:rPr>
        <w:t>expected time</w:t>
      </w:r>
      <w:r w:rsidR="00842203">
        <w:rPr>
          <w:rFonts w:eastAsia="仿宋_GB2312"/>
          <w:bCs/>
          <w:sz w:val="28"/>
          <w:szCs w:val="28"/>
          <w:lang w:val="en-US"/>
        </w:rPr>
        <w:t>line</w:t>
      </w:r>
      <w:r w:rsidR="00521685">
        <w:rPr>
          <w:rFonts w:eastAsia="仿宋_GB2312"/>
          <w:bCs/>
          <w:sz w:val="28"/>
          <w:szCs w:val="28"/>
          <w:lang w:val="en-US"/>
        </w:rPr>
        <w:t>.  The SMC Deal Fund has a term of 5 years, which means that after taking into account</w:t>
      </w:r>
      <w:r w:rsidR="00F96253" w:rsidRPr="00F96253">
        <w:rPr>
          <w:rFonts w:eastAsia="仿宋_GB2312"/>
          <w:bCs/>
          <w:sz w:val="28"/>
          <w:szCs w:val="28"/>
          <w:lang w:val="en-US"/>
        </w:rPr>
        <w:t xml:space="preserve"> </w:t>
      </w:r>
      <w:r w:rsidR="00C1399E">
        <w:rPr>
          <w:rFonts w:eastAsia="仿宋_GB2312"/>
          <w:bCs/>
          <w:sz w:val="28"/>
          <w:szCs w:val="28"/>
          <w:lang w:val="en-US"/>
        </w:rPr>
        <w:t>BHR’s</w:t>
      </w:r>
      <w:r w:rsidR="00C1399E" w:rsidRPr="00F96253">
        <w:rPr>
          <w:rFonts w:eastAsia="仿宋_GB2312"/>
          <w:bCs/>
          <w:sz w:val="28"/>
          <w:szCs w:val="28"/>
          <w:lang w:val="en-US"/>
        </w:rPr>
        <w:t xml:space="preserve"> </w:t>
      </w:r>
      <w:r w:rsidR="00C1399E">
        <w:rPr>
          <w:rFonts w:eastAsia="仿宋_GB2312"/>
          <w:bCs/>
          <w:sz w:val="28"/>
          <w:szCs w:val="28"/>
          <w:lang w:val="en-US"/>
        </w:rPr>
        <w:t>6-month</w:t>
      </w:r>
      <w:r w:rsidR="00F96253" w:rsidRPr="00F96253">
        <w:rPr>
          <w:rFonts w:eastAsia="仿宋_GB2312"/>
          <w:bCs/>
          <w:sz w:val="28"/>
          <w:szCs w:val="28"/>
          <w:lang w:val="en-US"/>
        </w:rPr>
        <w:t xml:space="preserve"> lock-up period, </w:t>
      </w:r>
      <w:r w:rsidR="00521685">
        <w:rPr>
          <w:rFonts w:eastAsia="仿宋_GB2312"/>
          <w:bCs/>
          <w:sz w:val="28"/>
          <w:szCs w:val="28"/>
          <w:lang w:val="en-US"/>
        </w:rPr>
        <w:t>we will have</w:t>
      </w:r>
      <w:r w:rsidR="00605D0D">
        <w:rPr>
          <w:rFonts w:eastAsia="仿宋_GB2312"/>
          <w:bCs/>
          <w:sz w:val="28"/>
          <w:szCs w:val="28"/>
          <w:lang w:val="en-US"/>
        </w:rPr>
        <w:t xml:space="preserve"> </w:t>
      </w:r>
      <w:r w:rsidR="00521685">
        <w:rPr>
          <w:rFonts w:eastAsia="仿宋_GB2312"/>
          <w:bCs/>
          <w:sz w:val="28"/>
          <w:szCs w:val="28"/>
          <w:lang w:val="en-US"/>
        </w:rPr>
        <w:t>6 months to exit from this investment and liquidate our holdings</w:t>
      </w:r>
      <w:r w:rsidR="00F96253" w:rsidRPr="00F96253">
        <w:rPr>
          <w:rFonts w:eastAsia="仿宋_GB2312"/>
          <w:bCs/>
          <w:sz w:val="28"/>
          <w:szCs w:val="28"/>
          <w:lang w:val="en-US"/>
        </w:rPr>
        <w:t>.</w:t>
      </w:r>
      <w:r w:rsidR="006F3A25">
        <w:rPr>
          <w:rFonts w:eastAsia="仿宋_GB2312"/>
          <w:bCs/>
          <w:sz w:val="28"/>
          <w:szCs w:val="28"/>
          <w:lang w:val="en-US"/>
        </w:rPr>
        <w:t xml:space="preserve"> Although</w:t>
      </w:r>
      <w:r w:rsidR="006F3A25" w:rsidRPr="006F3A25">
        <w:rPr>
          <w:rFonts w:eastAsia="仿宋_GB2312"/>
          <w:bCs/>
          <w:sz w:val="28"/>
          <w:szCs w:val="28"/>
          <w:lang w:val="en-US"/>
        </w:rPr>
        <w:t xml:space="preserve"> </w:t>
      </w:r>
      <w:r w:rsidR="00C63328">
        <w:rPr>
          <w:rFonts w:eastAsia="仿宋_GB2312"/>
          <w:bCs/>
          <w:sz w:val="28"/>
          <w:szCs w:val="28"/>
          <w:lang w:val="en-US"/>
        </w:rPr>
        <w:t>special approval has been obtained to allow for full transferability of all shares</w:t>
      </w:r>
      <w:r w:rsidR="006F3A25">
        <w:rPr>
          <w:rFonts w:eastAsia="仿宋_GB2312"/>
          <w:bCs/>
          <w:sz w:val="28"/>
          <w:szCs w:val="28"/>
          <w:lang w:val="en-US"/>
        </w:rPr>
        <w:t xml:space="preserve">, </w:t>
      </w:r>
      <w:r w:rsidR="00803CFA">
        <w:rPr>
          <w:rFonts w:eastAsia="仿宋_GB2312"/>
          <w:bCs/>
          <w:sz w:val="28"/>
          <w:szCs w:val="28"/>
          <w:lang w:val="en-US"/>
        </w:rPr>
        <w:t xml:space="preserve">the </w:t>
      </w:r>
      <w:r w:rsidR="00C63328">
        <w:rPr>
          <w:rFonts w:eastAsia="仿宋_GB2312"/>
          <w:bCs/>
          <w:sz w:val="28"/>
          <w:szCs w:val="28"/>
          <w:lang w:val="en-US"/>
        </w:rPr>
        <w:t>Company will nevertheless face the pressure of exiting in full and recouping LP’s investment before the Fund’s term reaches maturity</w:t>
      </w:r>
      <w:r w:rsidR="00803CFA">
        <w:rPr>
          <w:rFonts w:eastAsia="仿宋_GB2312"/>
          <w:bCs/>
          <w:sz w:val="28"/>
          <w:szCs w:val="28"/>
          <w:lang w:val="en-US"/>
        </w:rPr>
        <w:t xml:space="preserve">. </w:t>
      </w:r>
    </w:p>
    <w:p w14:paraId="36B27914" w14:textId="5D34F488" w:rsidR="00E0653B" w:rsidRPr="001B358C" w:rsidRDefault="00102190" w:rsidP="00E0653B">
      <w:pPr>
        <w:tabs>
          <w:tab w:val="left" w:pos="330"/>
        </w:tabs>
        <w:spacing w:before="220" w:after="220" w:line="360" w:lineRule="auto"/>
        <w:jc w:val="both"/>
        <w:rPr>
          <w:rFonts w:eastAsia="仿宋_GB2312"/>
          <w:b/>
          <w:bCs/>
          <w:sz w:val="28"/>
          <w:szCs w:val="28"/>
          <w:lang w:val="en-US"/>
        </w:rPr>
      </w:pPr>
      <w:r>
        <w:rPr>
          <w:rFonts w:eastAsia="仿宋_GB2312"/>
          <w:b/>
          <w:bCs/>
          <w:sz w:val="28"/>
          <w:szCs w:val="28"/>
          <w:lang w:val="en-US"/>
        </w:rPr>
        <w:t xml:space="preserve">Project Hanson - </w:t>
      </w:r>
      <w:proofErr w:type="spellStart"/>
      <w:r w:rsidR="00E0653B">
        <w:rPr>
          <w:rFonts w:eastAsia="仿宋_GB2312"/>
          <w:b/>
          <w:bCs/>
          <w:sz w:val="28"/>
          <w:szCs w:val="28"/>
          <w:lang w:val="en-US"/>
        </w:rPr>
        <w:t>Henniges</w:t>
      </w:r>
      <w:proofErr w:type="spellEnd"/>
    </w:p>
    <w:p w14:paraId="77DBC3C3" w14:textId="4D6CBEA9" w:rsidR="00E0653B" w:rsidRPr="009A2AEF" w:rsidRDefault="00FD7AB5" w:rsidP="009A2AEF">
      <w:pPr>
        <w:spacing w:line="360" w:lineRule="auto"/>
        <w:jc w:val="both"/>
        <w:rPr>
          <w:rFonts w:eastAsia="仿宋_GB2312"/>
          <w:bCs/>
          <w:sz w:val="28"/>
          <w:szCs w:val="28"/>
          <w:lang w:val="en-US"/>
        </w:rPr>
      </w:pPr>
      <w:r>
        <w:rPr>
          <w:rFonts w:eastAsia="仿宋_GB2312"/>
          <w:bCs/>
          <w:sz w:val="28"/>
          <w:szCs w:val="28"/>
          <w:lang w:val="en-US"/>
        </w:rPr>
        <w:t>For</w:t>
      </w:r>
      <w:r w:rsidRPr="00F96253">
        <w:rPr>
          <w:rFonts w:eastAsia="仿宋_GB2312"/>
          <w:bCs/>
          <w:sz w:val="28"/>
          <w:szCs w:val="28"/>
          <w:lang w:val="en-US"/>
        </w:rPr>
        <w:t xml:space="preserve"> </w:t>
      </w:r>
      <w:r w:rsidR="00F96253" w:rsidRPr="00F96253">
        <w:rPr>
          <w:rFonts w:eastAsia="仿宋_GB2312"/>
          <w:bCs/>
          <w:sz w:val="28"/>
          <w:szCs w:val="28"/>
          <w:lang w:val="en-US"/>
        </w:rPr>
        <w:t>the first three quarters of</w:t>
      </w:r>
      <w:r w:rsidR="00CF76ED">
        <w:rPr>
          <w:rFonts w:eastAsia="仿宋_GB2312"/>
          <w:bCs/>
          <w:sz w:val="28"/>
          <w:szCs w:val="28"/>
          <w:lang w:val="en-US"/>
        </w:rPr>
        <w:t xml:space="preserve"> 2018, </w:t>
      </w:r>
      <w:proofErr w:type="spellStart"/>
      <w:r w:rsidR="00CF76ED">
        <w:rPr>
          <w:rFonts w:eastAsia="仿宋_GB2312"/>
          <w:bCs/>
          <w:sz w:val="28"/>
          <w:szCs w:val="28"/>
          <w:lang w:val="en-US"/>
        </w:rPr>
        <w:t>Henniges</w:t>
      </w:r>
      <w:proofErr w:type="spellEnd"/>
      <w:r>
        <w:rPr>
          <w:rFonts w:eastAsia="仿宋_GB2312"/>
          <w:bCs/>
          <w:sz w:val="28"/>
          <w:szCs w:val="28"/>
          <w:lang w:val="en-US"/>
        </w:rPr>
        <w:t xml:space="preserve"> achieved sales of</w:t>
      </w:r>
      <w:r w:rsidR="00F96253" w:rsidRPr="00F96253">
        <w:rPr>
          <w:rFonts w:eastAsia="仿宋_GB2312"/>
          <w:bCs/>
          <w:sz w:val="28"/>
          <w:szCs w:val="28"/>
          <w:lang w:val="en-US"/>
        </w:rPr>
        <w:t xml:space="preserve"> </w:t>
      </w:r>
      <w:r w:rsidR="000451D6">
        <w:rPr>
          <w:rFonts w:eastAsia="仿宋_GB2312"/>
          <w:bCs/>
          <w:sz w:val="28"/>
          <w:szCs w:val="28"/>
          <w:lang w:val="en-US"/>
        </w:rPr>
        <w:t xml:space="preserve">USD </w:t>
      </w:r>
      <w:r w:rsidR="00F96253" w:rsidRPr="00F96253">
        <w:rPr>
          <w:rFonts w:eastAsia="仿宋_GB2312"/>
          <w:bCs/>
          <w:sz w:val="28"/>
          <w:szCs w:val="28"/>
          <w:lang w:val="en-US"/>
        </w:rPr>
        <w:t xml:space="preserve">758 million, </w:t>
      </w:r>
      <w:r>
        <w:rPr>
          <w:rFonts w:eastAsia="仿宋_GB2312"/>
          <w:bCs/>
          <w:sz w:val="28"/>
          <w:szCs w:val="28"/>
          <w:lang w:val="en-US"/>
        </w:rPr>
        <w:t xml:space="preserve">up </w:t>
      </w:r>
      <w:r w:rsidR="00F96253" w:rsidRPr="00F96253">
        <w:rPr>
          <w:rFonts w:eastAsia="仿宋_GB2312"/>
          <w:bCs/>
          <w:sz w:val="28"/>
          <w:szCs w:val="28"/>
          <w:lang w:val="en-US"/>
        </w:rPr>
        <w:t xml:space="preserve">11.4% compared with </w:t>
      </w:r>
      <w:r>
        <w:rPr>
          <w:rFonts w:eastAsia="仿宋_GB2312"/>
          <w:bCs/>
          <w:sz w:val="28"/>
          <w:szCs w:val="28"/>
          <w:lang w:val="en-US"/>
        </w:rPr>
        <w:t xml:space="preserve">USD </w:t>
      </w:r>
      <w:r w:rsidR="000451D6">
        <w:rPr>
          <w:rFonts w:eastAsia="仿宋_GB2312"/>
          <w:bCs/>
          <w:sz w:val="28"/>
          <w:szCs w:val="28"/>
          <w:lang w:val="en-US"/>
        </w:rPr>
        <w:t xml:space="preserve">681 million </w:t>
      </w:r>
      <w:r w:rsidR="00F96253" w:rsidRPr="00F96253">
        <w:rPr>
          <w:rFonts w:eastAsia="仿宋_GB2312"/>
          <w:bCs/>
          <w:sz w:val="28"/>
          <w:szCs w:val="28"/>
          <w:lang w:val="en-US"/>
        </w:rPr>
        <w:t xml:space="preserve">in the same period last year. </w:t>
      </w:r>
      <w:r w:rsidR="00F031D5">
        <w:rPr>
          <w:rFonts w:eastAsia="仿宋_GB2312"/>
          <w:bCs/>
          <w:sz w:val="28"/>
          <w:szCs w:val="28"/>
          <w:lang w:val="en-US"/>
        </w:rPr>
        <w:t>T</w:t>
      </w:r>
      <w:r w:rsidR="00F96253" w:rsidRPr="00F96253">
        <w:rPr>
          <w:rFonts w:eastAsia="仿宋_GB2312"/>
          <w:bCs/>
          <w:sz w:val="28"/>
          <w:szCs w:val="28"/>
          <w:lang w:val="en-US"/>
        </w:rPr>
        <w:t>he North American market benefited from the increase in sales of medium and large passenger vehicles, and sales revenue grew rapidly</w:t>
      </w:r>
      <w:r w:rsidR="004A6C76">
        <w:rPr>
          <w:rFonts w:eastAsia="仿宋_GB2312"/>
          <w:bCs/>
          <w:sz w:val="28"/>
          <w:szCs w:val="28"/>
          <w:lang w:val="en-US"/>
        </w:rPr>
        <w:t xml:space="preserve">, </w:t>
      </w:r>
      <w:r>
        <w:rPr>
          <w:rFonts w:eastAsia="仿宋_GB2312"/>
          <w:bCs/>
          <w:sz w:val="28"/>
          <w:szCs w:val="28"/>
          <w:lang w:val="en-US"/>
        </w:rPr>
        <w:t xml:space="preserve">registering </w:t>
      </w:r>
      <w:r w:rsidR="004A6C76">
        <w:rPr>
          <w:rFonts w:eastAsia="仿宋_GB2312"/>
          <w:bCs/>
          <w:sz w:val="28"/>
          <w:szCs w:val="28"/>
          <w:lang w:val="en-US"/>
        </w:rPr>
        <w:t xml:space="preserve">an </w:t>
      </w:r>
      <w:r w:rsidR="004A6C76" w:rsidRPr="00F96253">
        <w:rPr>
          <w:rFonts w:eastAsia="仿宋_GB2312"/>
          <w:bCs/>
          <w:sz w:val="28"/>
          <w:szCs w:val="28"/>
          <w:lang w:val="en-US"/>
        </w:rPr>
        <w:t>increase</w:t>
      </w:r>
      <w:r w:rsidR="004A6C76">
        <w:rPr>
          <w:rFonts w:eastAsia="仿宋_GB2312"/>
          <w:bCs/>
          <w:sz w:val="28"/>
          <w:szCs w:val="28"/>
          <w:lang w:val="en-US"/>
        </w:rPr>
        <w:t xml:space="preserve"> of </w:t>
      </w:r>
      <w:r w:rsidR="004A6C76" w:rsidRPr="00F96253">
        <w:rPr>
          <w:rFonts w:eastAsia="仿宋_GB2312"/>
          <w:bCs/>
          <w:sz w:val="28"/>
          <w:szCs w:val="28"/>
          <w:lang w:val="en-US"/>
        </w:rPr>
        <w:t xml:space="preserve">13.7% </w:t>
      </w:r>
      <w:r w:rsidR="004A6C76">
        <w:rPr>
          <w:rFonts w:eastAsia="仿宋_GB2312"/>
          <w:bCs/>
          <w:sz w:val="28"/>
          <w:szCs w:val="28"/>
          <w:lang w:val="en-US"/>
        </w:rPr>
        <w:t>YOY</w:t>
      </w:r>
      <w:r w:rsidR="00F96253" w:rsidRPr="00F96253">
        <w:rPr>
          <w:rFonts w:eastAsia="仿宋_GB2312"/>
          <w:bCs/>
          <w:sz w:val="28"/>
          <w:szCs w:val="28"/>
          <w:lang w:val="en-US"/>
        </w:rPr>
        <w:t xml:space="preserve"> in the first three quarters; the Asian market benefited from the continuous improvement of operations in China, and sales revenue increased by </w:t>
      </w:r>
      <w:r w:rsidR="00F031D5">
        <w:rPr>
          <w:rFonts w:eastAsia="仿宋_GB2312"/>
          <w:bCs/>
          <w:sz w:val="28"/>
          <w:szCs w:val="28"/>
          <w:lang w:val="en-US"/>
        </w:rPr>
        <w:t>7.7% compared with</w:t>
      </w:r>
      <w:r>
        <w:rPr>
          <w:rFonts w:eastAsia="仿宋_GB2312"/>
          <w:bCs/>
          <w:sz w:val="28"/>
          <w:szCs w:val="28"/>
          <w:lang w:val="en-US"/>
        </w:rPr>
        <w:t xml:space="preserve"> same period</w:t>
      </w:r>
      <w:r w:rsidR="00F031D5">
        <w:rPr>
          <w:rFonts w:eastAsia="仿宋_GB2312"/>
          <w:bCs/>
          <w:sz w:val="28"/>
          <w:szCs w:val="28"/>
          <w:lang w:val="en-US"/>
        </w:rPr>
        <w:t xml:space="preserve"> last year; t</w:t>
      </w:r>
      <w:r w:rsidR="00F96253" w:rsidRPr="00F96253">
        <w:rPr>
          <w:rFonts w:eastAsia="仿宋_GB2312"/>
          <w:bCs/>
          <w:sz w:val="28"/>
          <w:szCs w:val="28"/>
          <w:lang w:val="en-US"/>
        </w:rPr>
        <w:t xml:space="preserve">he European region also achieved a 7.4% </w:t>
      </w:r>
      <w:r w:rsidR="00F031D5">
        <w:rPr>
          <w:rFonts w:eastAsia="仿宋_GB2312"/>
          <w:bCs/>
          <w:sz w:val="28"/>
          <w:szCs w:val="28"/>
          <w:lang w:val="en-US"/>
        </w:rPr>
        <w:t>YOY</w:t>
      </w:r>
      <w:r w:rsidR="00F96253" w:rsidRPr="00F96253">
        <w:rPr>
          <w:rFonts w:eastAsia="仿宋_GB2312"/>
          <w:bCs/>
          <w:sz w:val="28"/>
          <w:szCs w:val="28"/>
          <w:lang w:val="en-US"/>
        </w:rPr>
        <w:t xml:space="preserve"> revenue growth.</w:t>
      </w:r>
      <w:r w:rsidR="00CF76ED">
        <w:rPr>
          <w:rFonts w:eastAsia="仿宋_GB2312"/>
          <w:bCs/>
          <w:sz w:val="28"/>
          <w:szCs w:val="28"/>
          <w:lang w:val="en-US"/>
        </w:rPr>
        <w:t xml:space="preserve"> In terms of profitability, </w:t>
      </w:r>
      <w:proofErr w:type="spellStart"/>
      <w:r w:rsidR="00CF76ED">
        <w:rPr>
          <w:rFonts w:eastAsia="仿宋_GB2312"/>
          <w:bCs/>
          <w:sz w:val="28"/>
          <w:szCs w:val="28"/>
          <w:lang w:val="en-US"/>
        </w:rPr>
        <w:t>Henniges</w:t>
      </w:r>
      <w:proofErr w:type="spellEnd"/>
      <w:r w:rsidR="00CF76ED">
        <w:rPr>
          <w:rFonts w:eastAsia="仿宋_GB2312"/>
          <w:bCs/>
          <w:sz w:val="28"/>
          <w:szCs w:val="28"/>
          <w:lang w:val="en-US"/>
        </w:rPr>
        <w:t xml:space="preserve"> </w:t>
      </w:r>
      <w:r w:rsidR="00F031D5">
        <w:rPr>
          <w:rFonts w:eastAsia="仿宋_GB2312"/>
          <w:bCs/>
          <w:sz w:val="28"/>
          <w:szCs w:val="28"/>
          <w:lang w:val="en-US"/>
        </w:rPr>
        <w:t xml:space="preserve">achieved EBITDA of USD </w:t>
      </w:r>
      <w:r w:rsidR="00F96253" w:rsidRPr="00F96253">
        <w:rPr>
          <w:rFonts w:eastAsia="仿宋_GB2312"/>
          <w:bCs/>
          <w:sz w:val="28"/>
          <w:szCs w:val="28"/>
          <w:lang w:val="en-US"/>
        </w:rPr>
        <w:t>87.8</w:t>
      </w:r>
      <w:r w:rsidR="00CF76ED">
        <w:rPr>
          <w:rFonts w:eastAsia="仿宋_GB2312"/>
          <w:bCs/>
          <w:sz w:val="28"/>
          <w:szCs w:val="28"/>
          <w:lang w:val="en-US"/>
        </w:rPr>
        <w:t>5</w:t>
      </w:r>
      <w:r w:rsidR="00F96253" w:rsidRPr="00F96253">
        <w:rPr>
          <w:rFonts w:eastAsia="仿宋_GB2312"/>
          <w:bCs/>
          <w:sz w:val="28"/>
          <w:szCs w:val="28"/>
          <w:lang w:val="en-US"/>
        </w:rPr>
        <w:t xml:space="preserve"> million in the first three quarters, a s</w:t>
      </w:r>
      <w:r w:rsidR="00F031D5">
        <w:rPr>
          <w:rFonts w:eastAsia="仿宋_GB2312"/>
          <w:bCs/>
          <w:sz w:val="28"/>
          <w:szCs w:val="28"/>
          <w:lang w:val="en-US"/>
        </w:rPr>
        <w:t xml:space="preserve">light decrease of 1.21% from USD </w:t>
      </w:r>
      <w:r w:rsidR="00F96253" w:rsidRPr="00F96253">
        <w:rPr>
          <w:rFonts w:eastAsia="仿宋_GB2312"/>
          <w:bCs/>
          <w:sz w:val="28"/>
          <w:szCs w:val="28"/>
          <w:lang w:val="en-US"/>
        </w:rPr>
        <w:t>89.93 million in</w:t>
      </w:r>
      <w:r w:rsidR="00CF76ED">
        <w:rPr>
          <w:rFonts w:eastAsia="仿宋_GB2312"/>
          <w:bCs/>
          <w:sz w:val="28"/>
          <w:szCs w:val="28"/>
          <w:lang w:val="en-US"/>
        </w:rPr>
        <w:t xml:space="preserve"> the same period last year. </w:t>
      </w:r>
      <w:r w:rsidR="00F031D5">
        <w:rPr>
          <w:rFonts w:eastAsia="仿宋_GB2312"/>
          <w:bCs/>
          <w:sz w:val="28"/>
          <w:szCs w:val="28"/>
          <w:lang w:val="en-US"/>
        </w:rPr>
        <w:t xml:space="preserve">EBITDA </w:t>
      </w:r>
      <w:r>
        <w:rPr>
          <w:rFonts w:eastAsia="仿宋_GB2312"/>
          <w:bCs/>
          <w:sz w:val="28"/>
          <w:szCs w:val="28"/>
          <w:lang w:val="en-US"/>
        </w:rPr>
        <w:t xml:space="preserve">margin </w:t>
      </w:r>
      <w:r w:rsidR="00F031D5">
        <w:rPr>
          <w:rFonts w:eastAsia="仿宋_GB2312"/>
          <w:bCs/>
          <w:sz w:val="28"/>
          <w:szCs w:val="28"/>
          <w:lang w:val="en-US"/>
        </w:rPr>
        <w:t xml:space="preserve">decreased by 1.6% </w:t>
      </w:r>
      <w:r w:rsidR="00F96253" w:rsidRPr="00F96253">
        <w:rPr>
          <w:rFonts w:eastAsia="仿宋_GB2312"/>
          <w:bCs/>
          <w:sz w:val="28"/>
          <w:szCs w:val="28"/>
          <w:lang w:val="en-US"/>
        </w:rPr>
        <w:t xml:space="preserve">to 11.6% </w:t>
      </w:r>
      <w:r w:rsidR="00F96253" w:rsidRPr="00F96253">
        <w:rPr>
          <w:rFonts w:eastAsia="仿宋_GB2312"/>
          <w:bCs/>
          <w:sz w:val="28"/>
          <w:szCs w:val="28"/>
          <w:lang w:val="en-US"/>
        </w:rPr>
        <w:lastRenderedPageBreak/>
        <w:t>compared with 13.2% in the same period of last year</w:t>
      </w:r>
      <w:r w:rsidR="006D5E62">
        <w:rPr>
          <w:rFonts w:eastAsia="仿宋_GB2312"/>
          <w:bCs/>
          <w:sz w:val="28"/>
          <w:szCs w:val="28"/>
          <w:lang w:val="en-US"/>
        </w:rPr>
        <w:t xml:space="preserve">. </w:t>
      </w:r>
      <w:r w:rsidR="006D5E62" w:rsidRPr="00F96253">
        <w:rPr>
          <w:rFonts w:eastAsia="仿宋_GB2312"/>
          <w:bCs/>
          <w:sz w:val="28"/>
          <w:szCs w:val="28"/>
          <w:lang w:val="en-US"/>
        </w:rPr>
        <w:t xml:space="preserve"> </w:t>
      </w:r>
      <w:r w:rsidR="006D5E62">
        <w:rPr>
          <w:rFonts w:eastAsia="仿宋_GB2312"/>
          <w:bCs/>
          <w:sz w:val="28"/>
          <w:szCs w:val="28"/>
          <w:lang w:val="en-US"/>
        </w:rPr>
        <w:t>N</w:t>
      </w:r>
      <w:r w:rsidR="00F96253" w:rsidRPr="00F96253">
        <w:rPr>
          <w:rFonts w:eastAsia="仿宋_GB2312"/>
          <w:bCs/>
          <w:sz w:val="28"/>
          <w:szCs w:val="28"/>
          <w:lang w:val="en-US"/>
        </w:rPr>
        <w:t xml:space="preserve">et profit for the </w:t>
      </w:r>
      <w:r w:rsidR="006D5E62">
        <w:rPr>
          <w:rFonts w:eastAsia="仿宋_GB2312"/>
          <w:bCs/>
          <w:sz w:val="28"/>
          <w:szCs w:val="28"/>
          <w:lang w:val="en-US"/>
        </w:rPr>
        <w:t>first three quarters</w:t>
      </w:r>
      <w:r w:rsidR="00F96253" w:rsidRPr="00F96253">
        <w:rPr>
          <w:rFonts w:eastAsia="仿宋_GB2312"/>
          <w:bCs/>
          <w:sz w:val="28"/>
          <w:szCs w:val="28"/>
          <w:lang w:val="en-US"/>
        </w:rPr>
        <w:t xml:space="preserve"> </w:t>
      </w:r>
      <w:r w:rsidR="006D5E62">
        <w:rPr>
          <w:rFonts w:eastAsia="仿宋_GB2312"/>
          <w:bCs/>
          <w:sz w:val="28"/>
          <w:szCs w:val="28"/>
          <w:lang w:val="en-US"/>
        </w:rPr>
        <w:t>is</w:t>
      </w:r>
      <w:r w:rsidR="006D5E62" w:rsidRPr="00F96253">
        <w:rPr>
          <w:rFonts w:eastAsia="仿宋_GB2312"/>
          <w:bCs/>
          <w:sz w:val="28"/>
          <w:szCs w:val="28"/>
          <w:lang w:val="en-US"/>
        </w:rPr>
        <w:t xml:space="preserve"> </w:t>
      </w:r>
      <w:r w:rsidR="00F96253" w:rsidRPr="00F96253">
        <w:rPr>
          <w:rFonts w:eastAsia="仿宋_GB2312"/>
          <w:bCs/>
          <w:sz w:val="28"/>
          <w:szCs w:val="28"/>
          <w:lang w:val="en-US"/>
        </w:rPr>
        <w:t>US</w:t>
      </w:r>
      <w:r w:rsidR="00F031D5">
        <w:rPr>
          <w:rFonts w:eastAsia="仿宋_GB2312" w:hint="eastAsia"/>
          <w:bCs/>
          <w:sz w:val="28"/>
          <w:szCs w:val="28"/>
          <w:lang w:val="en-US"/>
        </w:rPr>
        <w:t>D</w:t>
      </w:r>
      <w:r w:rsidR="00F031D5">
        <w:rPr>
          <w:rFonts w:eastAsia="仿宋_GB2312"/>
          <w:bCs/>
          <w:sz w:val="28"/>
          <w:szCs w:val="28"/>
          <w:lang w:val="en-US"/>
        </w:rPr>
        <w:t xml:space="preserve"> </w:t>
      </w:r>
      <w:r w:rsidR="00F96253" w:rsidRPr="00F96253">
        <w:rPr>
          <w:rFonts w:eastAsia="仿宋_GB2312"/>
          <w:bCs/>
          <w:sz w:val="28"/>
          <w:szCs w:val="28"/>
          <w:lang w:val="en-US"/>
        </w:rPr>
        <w:t>17.71 million. The reasons for the decline in profit include rising raw material costs, European restructuring costs due to optimization of global factory layout, and other labor-related costs.</w:t>
      </w:r>
    </w:p>
    <w:p w14:paraId="44F20554" w14:textId="06417E5C" w:rsidR="00E0653B" w:rsidRPr="009A2AEF" w:rsidRDefault="006D5E62" w:rsidP="009A2AEF">
      <w:pPr>
        <w:spacing w:line="360" w:lineRule="auto"/>
        <w:jc w:val="both"/>
        <w:rPr>
          <w:rFonts w:eastAsia="仿宋_GB2312"/>
          <w:bCs/>
          <w:sz w:val="28"/>
          <w:szCs w:val="28"/>
          <w:lang w:val="en-US"/>
        </w:rPr>
      </w:pPr>
      <w:r>
        <w:rPr>
          <w:rFonts w:eastAsia="仿宋_GB2312"/>
          <w:bCs/>
          <w:sz w:val="28"/>
          <w:szCs w:val="28"/>
          <w:lang w:val="en-US"/>
        </w:rPr>
        <w:t>BHR</w:t>
      </w:r>
      <w:r w:rsidR="00CF76ED">
        <w:rPr>
          <w:rFonts w:eastAsia="仿宋_GB2312"/>
          <w:bCs/>
          <w:sz w:val="28"/>
          <w:szCs w:val="28"/>
          <w:lang w:val="en-US"/>
        </w:rPr>
        <w:t xml:space="preserve"> M</w:t>
      </w:r>
      <w:r w:rsidR="006D51F4" w:rsidRPr="006D51F4">
        <w:rPr>
          <w:rFonts w:eastAsia="仿宋_GB2312"/>
          <w:bCs/>
          <w:sz w:val="28"/>
          <w:szCs w:val="28"/>
          <w:lang w:val="en-US"/>
        </w:rPr>
        <w:t xml:space="preserve">anagement and the project team have </w:t>
      </w:r>
      <w:r>
        <w:rPr>
          <w:rFonts w:eastAsia="仿宋_GB2312"/>
          <w:bCs/>
          <w:sz w:val="28"/>
          <w:szCs w:val="28"/>
          <w:lang w:val="en-US"/>
        </w:rPr>
        <w:t>had</w:t>
      </w:r>
      <w:r w:rsidRPr="006D51F4">
        <w:rPr>
          <w:rFonts w:eastAsia="仿宋_GB2312"/>
          <w:bCs/>
          <w:sz w:val="28"/>
          <w:szCs w:val="28"/>
          <w:lang w:val="en-US"/>
        </w:rPr>
        <w:t xml:space="preserve"> </w:t>
      </w:r>
      <w:r w:rsidR="0097513A">
        <w:rPr>
          <w:rFonts w:eastAsia="仿宋_GB2312"/>
          <w:bCs/>
          <w:sz w:val="28"/>
          <w:szCs w:val="28"/>
          <w:lang w:val="en-US"/>
        </w:rPr>
        <w:t xml:space="preserve">repeated </w:t>
      </w:r>
      <w:r w:rsidR="006D51F4" w:rsidRPr="006D51F4">
        <w:rPr>
          <w:rFonts w:eastAsia="仿宋_GB2312"/>
          <w:bCs/>
          <w:sz w:val="28"/>
          <w:szCs w:val="28"/>
          <w:lang w:val="en-US"/>
        </w:rPr>
        <w:t>in-depth communication</w:t>
      </w:r>
      <w:r w:rsidR="0097513A">
        <w:rPr>
          <w:rFonts w:eastAsia="仿宋_GB2312"/>
          <w:bCs/>
          <w:sz w:val="28"/>
          <w:szCs w:val="28"/>
          <w:lang w:val="en-US"/>
        </w:rPr>
        <w:t>s</w:t>
      </w:r>
      <w:r w:rsidR="006D51F4" w:rsidRPr="006D51F4">
        <w:rPr>
          <w:rFonts w:eastAsia="仿宋_GB2312"/>
          <w:bCs/>
          <w:sz w:val="28"/>
          <w:szCs w:val="28"/>
          <w:lang w:val="en-US"/>
        </w:rPr>
        <w:t xml:space="preserve"> with AVIC Automotive and AVIC Group, </w:t>
      </w:r>
      <w:r w:rsidR="0097513A">
        <w:rPr>
          <w:rFonts w:eastAsia="仿宋_GB2312"/>
          <w:bCs/>
          <w:sz w:val="28"/>
          <w:szCs w:val="28"/>
          <w:lang w:val="en-US"/>
        </w:rPr>
        <w:t xml:space="preserve">emphasizing </w:t>
      </w:r>
      <w:r w:rsidR="00F031D5">
        <w:rPr>
          <w:rFonts w:eastAsia="仿宋_GB2312"/>
          <w:bCs/>
          <w:sz w:val="28"/>
          <w:szCs w:val="28"/>
          <w:lang w:val="en-US"/>
        </w:rPr>
        <w:t xml:space="preserve">that some </w:t>
      </w:r>
      <w:r w:rsidR="0097513A">
        <w:rPr>
          <w:rFonts w:eastAsia="仿宋_GB2312"/>
          <w:bCs/>
          <w:sz w:val="28"/>
          <w:szCs w:val="28"/>
          <w:lang w:val="en-US"/>
        </w:rPr>
        <w:t>LPs</w:t>
      </w:r>
      <w:r w:rsidR="00F031D5">
        <w:rPr>
          <w:rFonts w:eastAsia="仿宋_GB2312"/>
          <w:bCs/>
          <w:sz w:val="28"/>
          <w:szCs w:val="28"/>
          <w:lang w:val="en-US"/>
        </w:rPr>
        <w:t xml:space="preserve">, such as </w:t>
      </w:r>
      <w:r w:rsidR="0097513A">
        <w:rPr>
          <w:rFonts w:eastAsia="仿宋_GB2312"/>
          <w:bCs/>
          <w:sz w:val="28"/>
          <w:szCs w:val="28"/>
          <w:lang w:val="en-US"/>
        </w:rPr>
        <w:t xml:space="preserve">the </w:t>
      </w:r>
      <w:r w:rsidR="00F031D5">
        <w:rPr>
          <w:rFonts w:eastAsia="仿宋_GB2312"/>
          <w:bCs/>
          <w:sz w:val="28"/>
          <w:szCs w:val="28"/>
          <w:lang w:val="en-US"/>
        </w:rPr>
        <w:t xml:space="preserve">Bank of China, </w:t>
      </w:r>
      <w:r w:rsidR="0097513A">
        <w:rPr>
          <w:rFonts w:eastAsia="仿宋_GB2312"/>
          <w:bCs/>
          <w:sz w:val="28"/>
          <w:szCs w:val="28"/>
          <w:lang w:val="en-US"/>
        </w:rPr>
        <w:t xml:space="preserve">are requesting an actionable exit plan for the deal </w:t>
      </w:r>
      <w:r w:rsidR="00F031D5">
        <w:rPr>
          <w:rFonts w:eastAsia="仿宋_GB2312"/>
          <w:bCs/>
          <w:sz w:val="28"/>
          <w:szCs w:val="28"/>
          <w:lang w:val="en-US"/>
        </w:rPr>
        <w:t>fund</w:t>
      </w:r>
      <w:r w:rsidR="0097513A">
        <w:rPr>
          <w:rFonts w:eastAsia="仿宋_GB2312"/>
          <w:bCs/>
          <w:sz w:val="28"/>
          <w:szCs w:val="28"/>
          <w:lang w:val="en-US"/>
        </w:rPr>
        <w:t>, particularly in light of the 2018 Asset Management Regulations which impact all financial institution limited partners</w:t>
      </w:r>
      <w:r w:rsidR="006D51F4" w:rsidRPr="006D51F4">
        <w:rPr>
          <w:rFonts w:eastAsia="仿宋_GB2312"/>
          <w:bCs/>
          <w:sz w:val="28"/>
          <w:szCs w:val="28"/>
          <w:lang w:val="en-US"/>
        </w:rPr>
        <w:t xml:space="preserve">. </w:t>
      </w:r>
      <w:r w:rsidR="00F031D5">
        <w:rPr>
          <w:rFonts w:eastAsia="仿宋_GB2312"/>
          <w:bCs/>
          <w:sz w:val="28"/>
          <w:szCs w:val="28"/>
          <w:lang w:val="en-US"/>
        </w:rPr>
        <w:t>O</w:t>
      </w:r>
      <w:r w:rsidR="006D51F4" w:rsidRPr="006D51F4">
        <w:rPr>
          <w:rFonts w:eastAsia="仿宋_GB2312"/>
          <w:bCs/>
          <w:sz w:val="28"/>
          <w:szCs w:val="28"/>
          <w:lang w:val="en-US"/>
        </w:rPr>
        <w:t xml:space="preserve">ther investors such as </w:t>
      </w:r>
      <w:r w:rsidR="00F031D5">
        <w:rPr>
          <w:rFonts w:eastAsia="仿宋_GB2312"/>
          <w:bCs/>
          <w:sz w:val="28"/>
          <w:szCs w:val="28"/>
          <w:lang w:val="en-US"/>
        </w:rPr>
        <w:t>CNIC</w:t>
      </w:r>
      <w:r w:rsidR="006D51F4" w:rsidRPr="006D51F4">
        <w:rPr>
          <w:rFonts w:eastAsia="仿宋_GB2312"/>
          <w:bCs/>
          <w:sz w:val="28"/>
          <w:szCs w:val="28"/>
          <w:lang w:val="en-US"/>
        </w:rPr>
        <w:t xml:space="preserve"> are also f</w:t>
      </w:r>
      <w:r w:rsidR="00F031D5">
        <w:rPr>
          <w:rFonts w:eastAsia="仿宋_GB2312"/>
          <w:bCs/>
          <w:sz w:val="28"/>
          <w:szCs w:val="28"/>
          <w:lang w:val="en-US"/>
        </w:rPr>
        <w:t xml:space="preserve">acing tremendous exit pressure and demanding </w:t>
      </w:r>
      <w:r w:rsidR="00CF76ED">
        <w:rPr>
          <w:rFonts w:eastAsia="仿宋_GB2312"/>
          <w:bCs/>
          <w:sz w:val="28"/>
          <w:szCs w:val="28"/>
          <w:lang w:val="en-US"/>
        </w:rPr>
        <w:t xml:space="preserve">an </w:t>
      </w:r>
      <w:r w:rsidR="00F031D5">
        <w:rPr>
          <w:rFonts w:eastAsia="仿宋_GB2312"/>
          <w:bCs/>
          <w:sz w:val="28"/>
          <w:szCs w:val="28"/>
          <w:lang w:val="en-US"/>
        </w:rPr>
        <w:t>exit</w:t>
      </w:r>
      <w:r w:rsidR="00CF76ED">
        <w:rPr>
          <w:rFonts w:eastAsia="仿宋_GB2312"/>
          <w:bCs/>
          <w:sz w:val="28"/>
          <w:szCs w:val="28"/>
          <w:lang w:val="en-US"/>
        </w:rPr>
        <w:t xml:space="preserve"> plan</w:t>
      </w:r>
      <w:r w:rsidR="00F031D5">
        <w:rPr>
          <w:rFonts w:eastAsia="仿宋_GB2312"/>
          <w:bCs/>
          <w:sz w:val="28"/>
          <w:szCs w:val="28"/>
          <w:lang w:val="en-US"/>
        </w:rPr>
        <w:t xml:space="preserve">. </w:t>
      </w:r>
      <w:r w:rsidR="003E5C26">
        <w:rPr>
          <w:rFonts w:eastAsia="仿宋_GB2312"/>
          <w:bCs/>
          <w:sz w:val="28"/>
          <w:szCs w:val="28"/>
          <w:lang w:val="en-US"/>
        </w:rPr>
        <w:t xml:space="preserve">We will continue our </w:t>
      </w:r>
      <w:r w:rsidR="00CF76ED">
        <w:rPr>
          <w:rFonts w:eastAsia="仿宋_GB2312"/>
          <w:bCs/>
          <w:sz w:val="28"/>
          <w:szCs w:val="28"/>
          <w:lang w:val="en-US"/>
        </w:rPr>
        <w:t>communication with</w:t>
      </w:r>
      <w:r w:rsidR="006D51F4" w:rsidRPr="006D51F4">
        <w:rPr>
          <w:rFonts w:eastAsia="仿宋_GB2312"/>
          <w:bCs/>
          <w:sz w:val="28"/>
          <w:szCs w:val="28"/>
          <w:lang w:val="en-US"/>
        </w:rPr>
        <w:t xml:space="preserve"> AVIC through </w:t>
      </w:r>
      <w:r w:rsidR="00CF76ED">
        <w:rPr>
          <w:rFonts w:eastAsia="仿宋_GB2312"/>
          <w:bCs/>
          <w:sz w:val="28"/>
          <w:szCs w:val="28"/>
          <w:lang w:val="en-US"/>
        </w:rPr>
        <w:t>various channels</w:t>
      </w:r>
      <w:r w:rsidR="00F031D5">
        <w:rPr>
          <w:rFonts w:eastAsia="仿宋_GB2312"/>
          <w:bCs/>
          <w:sz w:val="28"/>
          <w:szCs w:val="28"/>
          <w:lang w:val="en-US"/>
        </w:rPr>
        <w:t xml:space="preserve"> </w:t>
      </w:r>
      <w:r w:rsidR="00CF76ED">
        <w:rPr>
          <w:rFonts w:eastAsia="仿宋_GB2312"/>
          <w:bCs/>
          <w:sz w:val="28"/>
          <w:szCs w:val="28"/>
          <w:lang w:val="en-US"/>
        </w:rPr>
        <w:t xml:space="preserve">to achieve </w:t>
      </w:r>
      <w:r w:rsidR="00F031D5">
        <w:rPr>
          <w:rFonts w:eastAsia="仿宋_GB2312"/>
          <w:bCs/>
          <w:sz w:val="28"/>
          <w:szCs w:val="28"/>
          <w:lang w:val="en-US"/>
        </w:rPr>
        <w:t xml:space="preserve">timely exit </w:t>
      </w:r>
      <w:r w:rsidR="006D51F4" w:rsidRPr="006D51F4">
        <w:rPr>
          <w:rFonts w:eastAsia="仿宋_GB2312"/>
          <w:bCs/>
          <w:sz w:val="28"/>
          <w:szCs w:val="28"/>
          <w:lang w:val="en-US"/>
        </w:rPr>
        <w:t>of the fund.</w:t>
      </w:r>
    </w:p>
    <w:p w14:paraId="13C33A2A" w14:textId="77777777" w:rsidR="00E0653B" w:rsidRDefault="00E0653B" w:rsidP="00E0653B">
      <w:pPr>
        <w:tabs>
          <w:tab w:val="left" w:pos="330"/>
        </w:tabs>
        <w:spacing w:before="220" w:after="220" w:line="360" w:lineRule="auto"/>
        <w:jc w:val="both"/>
        <w:rPr>
          <w:rFonts w:eastAsia="仿宋_GB2312"/>
          <w:b/>
          <w:bCs/>
          <w:sz w:val="28"/>
          <w:szCs w:val="28"/>
          <w:lang w:val="en-US"/>
        </w:rPr>
      </w:pPr>
      <w:r>
        <w:rPr>
          <w:rFonts w:eastAsia="仿宋_GB2312" w:hint="eastAsia"/>
          <w:b/>
          <w:bCs/>
          <w:sz w:val="28"/>
          <w:szCs w:val="28"/>
          <w:lang w:val="en-US"/>
        </w:rPr>
        <w:t>CATL</w:t>
      </w:r>
    </w:p>
    <w:p w14:paraId="439B1E25" w14:textId="6A79797C" w:rsidR="00E0653B" w:rsidRDefault="00B35B56" w:rsidP="00E0653B">
      <w:pPr>
        <w:spacing w:line="360" w:lineRule="auto"/>
        <w:jc w:val="both"/>
        <w:rPr>
          <w:rFonts w:eastAsia="仿宋_GB2312"/>
          <w:bCs/>
          <w:sz w:val="28"/>
          <w:szCs w:val="28"/>
          <w:lang w:val="en-US"/>
        </w:rPr>
      </w:pPr>
      <w:r>
        <w:rPr>
          <w:rFonts w:eastAsia="仿宋_GB2312"/>
          <w:bCs/>
          <w:sz w:val="28"/>
          <w:szCs w:val="28"/>
          <w:lang w:val="en-US"/>
        </w:rPr>
        <w:t>CATL</w:t>
      </w:r>
      <w:r w:rsidR="003B5D92">
        <w:rPr>
          <w:rFonts w:eastAsia="仿宋_GB2312"/>
          <w:bCs/>
          <w:sz w:val="28"/>
          <w:szCs w:val="28"/>
          <w:lang w:val="en-US"/>
        </w:rPr>
        <w:t xml:space="preserve"> listed </w:t>
      </w:r>
      <w:r w:rsidRPr="00B35B56">
        <w:rPr>
          <w:rFonts w:eastAsia="仿宋_GB2312"/>
          <w:bCs/>
          <w:sz w:val="28"/>
          <w:szCs w:val="28"/>
          <w:lang w:val="en-US"/>
        </w:rPr>
        <w:t>on</w:t>
      </w:r>
      <w:r w:rsidR="003B5D92">
        <w:rPr>
          <w:rFonts w:eastAsia="仿宋_GB2312"/>
          <w:bCs/>
          <w:sz w:val="28"/>
          <w:szCs w:val="28"/>
          <w:lang w:val="en-US"/>
        </w:rPr>
        <w:t xml:space="preserve"> China’s Growth Enterprise Board on</w:t>
      </w:r>
      <w:r w:rsidRPr="00B35B56">
        <w:rPr>
          <w:rFonts w:eastAsia="仿宋_GB2312"/>
          <w:bCs/>
          <w:sz w:val="28"/>
          <w:szCs w:val="28"/>
          <w:lang w:val="en-US"/>
        </w:rPr>
        <w:t xml:space="preserve"> June 11, 2018. As of</w:t>
      </w:r>
      <w:r w:rsidR="00243853">
        <w:rPr>
          <w:rFonts w:eastAsia="仿宋_GB2312"/>
          <w:bCs/>
          <w:sz w:val="28"/>
          <w:szCs w:val="28"/>
          <w:lang w:val="en-US"/>
        </w:rPr>
        <w:t xml:space="preserve"> December 18, 2018</w:t>
      </w:r>
      <w:r w:rsidRPr="00B35B56">
        <w:rPr>
          <w:rFonts w:eastAsia="仿宋_GB2312"/>
          <w:bCs/>
          <w:sz w:val="28"/>
          <w:szCs w:val="28"/>
          <w:lang w:val="en-US"/>
        </w:rPr>
        <w:t xml:space="preserve">, </w:t>
      </w:r>
      <w:r w:rsidR="00243853">
        <w:rPr>
          <w:rFonts w:eastAsia="仿宋_GB2312"/>
          <w:bCs/>
          <w:sz w:val="28"/>
          <w:szCs w:val="28"/>
          <w:lang w:val="en-US"/>
        </w:rPr>
        <w:t>its</w:t>
      </w:r>
      <w:r w:rsidR="00243853" w:rsidRPr="00B35B56">
        <w:rPr>
          <w:rFonts w:eastAsia="仿宋_GB2312"/>
          <w:bCs/>
          <w:sz w:val="28"/>
          <w:szCs w:val="28"/>
          <w:lang w:val="en-US"/>
        </w:rPr>
        <w:t xml:space="preserve"> </w:t>
      </w:r>
      <w:r w:rsidRPr="00B35B56">
        <w:rPr>
          <w:rFonts w:eastAsia="仿宋_GB2312"/>
          <w:bCs/>
          <w:sz w:val="28"/>
          <w:szCs w:val="28"/>
          <w:lang w:val="en-US"/>
        </w:rPr>
        <w:t xml:space="preserve">market </w:t>
      </w:r>
      <w:r w:rsidR="00243853">
        <w:rPr>
          <w:rFonts w:eastAsia="仿宋_GB2312"/>
          <w:bCs/>
          <w:sz w:val="28"/>
          <w:szCs w:val="28"/>
          <w:lang w:val="en-US"/>
        </w:rPr>
        <w:t>capitalization</w:t>
      </w:r>
      <w:r w:rsidR="00243853" w:rsidRPr="00B35B56">
        <w:rPr>
          <w:rFonts w:eastAsia="仿宋_GB2312"/>
          <w:bCs/>
          <w:sz w:val="28"/>
          <w:szCs w:val="28"/>
          <w:lang w:val="en-US"/>
        </w:rPr>
        <w:t xml:space="preserve"> </w:t>
      </w:r>
      <w:r w:rsidRPr="00B35B56">
        <w:rPr>
          <w:rFonts w:eastAsia="仿宋_GB2312"/>
          <w:bCs/>
          <w:sz w:val="28"/>
          <w:szCs w:val="28"/>
          <w:lang w:val="en-US"/>
        </w:rPr>
        <w:t xml:space="preserve">is </w:t>
      </w:r>
      <w:r w:rsidR="00243853">
        <w:rPr>
          <w:rFonts w:eastAsia="仿宋_GB2312"/>
          <w:bCs/>
          <w:sz w:val="28"/>
          <w:szCs w:val="28"/>
          <w:lang w:val="en-US"/>
        </w:rPr>
        <w:t>over</w:t>
      </w:r>
      <w:r w:rsidR="00243853" w:rsidRPr="00B35B56">
        <w:rPr>
          <w:rFonts w:eastAsia="仿宋_GB2312"/>
          <w:bCs/>
          <w:sz w:val="28"/>
          <w:szCs w:val="28"/>
          <w:lang w:val="en-US"/>
        </w:rPr>
        <w:t xml:space="preserve"> </w:t>
      </w:r>
      <w:r w:rsidR="003B5D92">
        <w:rPr>
          <w:rFonts w:eastAsia="仿宋_GB2312"/>
          <w:bCs/>
          <w:sz w:val="28"/>
          <w:szCs w:val="28"/>
          <w:lang w:val="en-US"/>
        </w:rPr>
        <w:t>RMB</w:t>
      </w:r>
      <w:r w:rsidR="00243853">
        <w:rPr>
          <w:rFonts w:eastAsia="仿宋_GB2312"/>
          <w:bCs/>
          <w:sz w:val="28"/>
          <w:szCs w:val="28"/>
          <w:lang w:val="en-US"/>
        </w:rPr>
        <w:t xml:space="preserve">170 </w:t>
      </w:r>
      <w:r w:rsidR="008917BF">
        <w:rPr>
          <w:rFonts w:eastAsia="仿宋_GB2312"/>
          <w:bCs/>
          <w:sz w:val="28"/>
          <w:szCs w:val="28"/>
          <w:lang w:val="en-US"/>
        </w:rPr>
        <w:t>billion</w:t>
      </w:r>
      <w:r w:rsidR="00243853">
        <w:rPr>
          <w:rFonts w:eastAsia="仿宋_GB2312"/>
          <w:bCs/>
          <w:sz w:val="28"/>
          <w:szCs w:val="28"/>
          <w:lang w:val="en-US"/>
        </w:rPr>
        <w:t xml:space="preserve"> and share performance remains steady</w:t>
      </w:r>
      <w:r w:rsidRPr="00B35B56">
        <w:rPr>
          <w:rFonts w:eastAsia="仿宋_GB2312"/>
          <w:bCs/>
          <w:sz w:val="28"/>
          <w:szCs w:val="28"/>
          <w:lang w:val="en-US"/>
        </w:rPr>
        <w:t xml:space="preserve">. In the first three quarters of 2018, </w:t>
      </w:r>
      <w:r w:rsidR="00243853">
        <w:rPr>
          <w:rFonts w:eastAsia="仿宋_GB2312"/>
          <w:bCs/>
          <w:sz w:val="28"/>
          <w:szCs w:val="28"/>
          <w:lang w:val="en-US"/>
        </w:rPr>
        <w:t>CATL recorded</w:t>
      </w:r>
      <w:r w:rsidR="00243853" w:rsidRPr="00B35B56">
        <w:rPr>
          <w:rFonts w:eastAsia="仿宋_GB2312"/>
          <w:bCs/>
          <w:sz w:val="28"/>
          <w:szCs w:val="28"/>
          <w:lang w:val="en-US"/>
        </w:rPr>
        <w:t xml:space="preserve"> </w:t>
      </w:r>
      <w:r w:rsidRPr="00B35B56">
        <w:rPr>
          <w:rFonts w:eastAsia="仿宋_GB2312"/>
          <w:bCs/>
          <w:sz w:val="28"/>
          <w:szCs w:val="28"/>
          <w:lang w:val="en-US"/>
        </w:rPr>
        <w:t xml:space="preserve">total revenue </w:t>
      </w:r>
      <w:r w:rsidR="00243853">
        <w:rPr>
          <w:rFonts w:eastAsia="仿宋_GB2312"/>
          <w:bCs/>
          <w:sz w:val="28"/>
          <w:szCs w:val="28"/>
          <w:lang w:val="en-US"/>
        </w:rPr>
        <w:t>of</w:t>
      </w:r>
      <w:r w:rsidR="00243853" w:rsidRPr="00B35B56">
        <w:rPr>
          <w:rFonts w:eastAsia="仿宋_GB2312"/>
          <w:bCs/>
          <w:sz w:val="28"/>
          <w:szCs w:val="28"/>
          <w:lang w:val="en-US"/>
        </w:rPr>
        <w:t xml:space="preserve"> </w:t>
      </w:r>
      <w:r w:rsidR="003B5D92">
        <w:rPr>
          <w:rFonts w:eastAsia="仿宋_GB2312"/>
          <w:bCs/>
          <w:sz w:val="28"/>
          <w:szCs w:val="28"/>
          <w:lang w:val="en-US"/>
        </w:rPr>
        <w:t xml:space="preserve">RMB </w:t>
      </w:r>
      <w:r w:rsidRPr="00B35B56">
        <w:rPr>
          <w:rFonts w:eastAsia="仿宋_GB2312"/>
          <w:bCs/>
          <w:sz w:val="28"/>
          <w:szCs w:val="28"/>
          <w:lang w:val="en-US"/>
        </w:rPr>
        <w:t>19.14 billion</w:t>
      </w:r>
      <w:r w:rsidR="007F16B9">
        <w:rPr>
          <w:rFonts w:eastAsia="仿宋_GB2312"/>
          <w:bCs/>
          <w:sz w:val="28"/>
          <w:szCs w:val="28"/>
          <w:lang w:val="en-US"/>
        </w:rPr>
        <w:t xml:space="preserve">, an </w:t>
      </w:r>
      <w:r w:rsidRPr="00B35B56">
        <w:rPr>
          <w:rFonts w:eastAsia="仿宋_GB2312"/>
          <w:bCs/>
          <w:sz w:val="28"/>
          <w:szCs w:val="28"/>
          <w:lang w:val="en-US"/>
        </w:rPr>
        <w:t>increase of 59.9%</w:t>
      </w:r>
      <w:r w:rsidR="007F16B9">
        <w:rPr>
          <w:rFonts w:eastAsia="仿宋_GB2312"/>
          <w:bCs/>
          <w:sz w:val="28"/>
          <w:szCs w:val="28"/>
          <w:lang w:val="en-US"/>
        </w:rPr>
        <w:t xml:space="preserve"> YOY</w:t>
      </w:r>
      <w:r w:rsidR="00243853">
        <w:rPr>
          <w:rFonts w:eastAsia="仿宋_GB2312"/>
          <w:bCs/>
          <w:sz w:val="28"/>
          <w:szCs w:val="28"/>
          <w:lang w:val="en-US"/>
        </w:rPr>
        <w:t xml:space="preserve">, </w:t>
      </w:r>
      <w:r w:rsidRPr="00B35B56">
        <w:rPr>
          <w:rFonts w:eastAsia="仿宋_GB2312"/>
          <w:bCs/>
          <w:sz w:val="28"/>
          <w:szCs w:val="28"/>
          <w:lang w:val="en-US"/>
        </w:rPr>
        <w:t xml:space="preserve">net profit </w:t>
      </w:r>
      <w:r w:rsidR="00243853">
        <w:rPr>
          <w:rFonts w:eastAsia="仿宋_GB2312"/>
          <w:bCs/>
          <w:sz w:val="28"/>
          <w:szCs w:val="28"/>
          <w:lang w:val="en-US"/>
        </w:rPr>
        <w:t>of</w:t>
      </w:r>
      <w:r w:rsidR="00243853" w:rsidRPr="00B35B56">
        <w:rPr>
          <w:rFonts w:eastAsia="仿宋_GB2312"/>
          <w:bCs/>
          <w:sz w:val="28"/>
          <w:szCs w:val="28"/>
          <w:lang w:val="en-US"/>
        </w:rPr>
        <w:t xml:space="preserve"> </w:t>
      </w:r>
      <w:r w:rsidR="007F16B9">
        <w:rPr>
          <w:rFonts w:eastAsia="仿宋_GB2312"/>
          <w:bCs/>
          <w:sz w:val="28"/>
          <w:szCs w:val="28"/>
          <w:lang w:val="en-US"/>
        </w:rPr>
        <w:t xml:space="preserve">RMB </w:t>
      </w:r>
      <w:r w:rsidRPr="00B35B56">
        <w:rPr>
          <w:rFonts w:eastAsia="仿宋_GB2312"/>
          <w:bCs/>
          <w:sz w:val="28"/>
          <w:szCs w:val="28"/>
          <w:lang w:val="en-US"/>
        </w:rPr>
        <w:t>1.99 billion, an increase of 88.7%</w:t>
      </w:r>
      <w:r w:rsidR="00243853">
        <w:rPr>
          <w:rFonts w:eastAsia="仿宋_GB2312"/>
          <w:bCs/>
          <w:sz w:val="28"/>
          <w:szCs w:val="28"/>
          <w:lang w:val="en-US"/>
        </w:rPr>
        <w:t xml:space="preserve"> YOY</w:t>
      </w:r>
      <w:r w:rsidRPr="00B35B56">
        <w:rPr>
          <w:rFonts w:eastAsia="仿宋_GB2312"/>
          <w:bCs/>
          <w:sz w:val="28"/>
          <w:szCs w:val="28"/>
          <w:lang w:val="en-US"/>
        </w:rPr>
        <w:t xml:space="preserve">. </w:t>
      </w:r>
      <w:r w:rsidR="00243853">
        <w:rPr>
          <w:rFonts w:eastAsia="仿宋_GB2312"/>
          <w:bCs/>
          <w:sz w:val="28"/>
          <w:szCs w:val="28"/>
          <w:lang w:val="en-US"/>
        </w:rPr>
        <w:t>The Company’s CATL</w:t>
      </w:r>
      <w:r w:rsidRPr="00B35B56">
        <w:rPr>
          <w:rFonts w:eastAsia="仿宋_GB2312"/>
          <w:bCs/>
          <w:sz w:val="28"/>
          <w:szCs w:val="28"/>
          <w:lang w:val="en-US"/>
        </w:rPr>
        <w:t xml:space="preserve"> </w:t>
      </w:r>
      <w:r w:rsidR="00243853">
        <w:rPr>
          <w:rFonts w:eastAsia="仿宋_GB2312"/>
          <w:bCs/>
          <w:sz w:val="28"/>
          <w:szCs w:val="28"/>
          <w:lang w:val="en-US"/>
        </w:rPr>
        <w:t>Fund</w:t>
      </w:r>
      <w:r w:rsidR="00243853" w:rsidRPr="00B35B56">
        <w:rPr>
          <w:rFonts w:eastAsia="仿宋_GB2312"/>
          <w:bCs/>
          <w:sz w:val="28"/>
          <w:szCs w:val="28"/>
          <w:lang w:val="en-US"/>
        </w:rPr>
        <w:t xml:space="preserve"> </w:t>
      </w:r>
      <w:r w:rsidR="00243853">
        <w:rPr>
          <w:rFonts w:eastAsia="仿宋_GB2312"/>
          <w:bCs/>
          <w:sz w:val="28"/>
          <w:szCs w:val="28"/>
          <w:lang w:val="en-US"/>
        </w:rPr>
        <w:t>remains subject to</w:t>
      </w:r>
      <w:r w:rsidR="008917BF">
        <w:rPr>
          <w:rFonts w:eastAsia="仿宋_GB2312"/>
          <w:bCs/>
          <w:sz w:val="28"/>
          <w:szCs w:val="28"/>
          <w:lang w:val="en-US"/>
        </w:rPr>
        <w:t xml:space="preserve"> </w:t>
      </w:r>
      <w:r w:rsidR="00424400">
        <w:rPr>
          <w:rFonts w:eastAsia="仿宋_GB2312"/>
          <w:bCs/>
          <w:sz w:val="28"/>
          <w:szCs w:val="28"/>
          <w:lang w:val="en-US"/>
        </w:rPr>
        <w:t xml:space="preserve">the one-year </w:t>
      </w:r>
      <w:r w:rsidR="008917BF">
        <w:rPr>
          <w:rFonts w:eastAsia="仿宋_GB2312"/>
          <w:bCs/>
          <w:sz w:val="28"/>
          <w:szCs w:val="28"/>
          <w:lang w:val="en-US"/>
        </w:rPr>
        <w:t>lock-up</w:t>
      </w:r>
      <w:r w:rsidR="00243853">
        <w:rPr>
          <w:rFonts w:eastAsia="仿宋_GB2312"/>
          <w:bCs/>
          <w:sz w:val="28"/>
          <w:szCs w:val="28"/>
          <w:lang w:val="en-US"/>
        </w:rPr>
        <w:t xml:space="preserve"> </w:t>
      </w:r>
      <w:r w:rsidR="00424400">
        <w:rPr>
          <w:rFonts w:eastAsia="仿宋_GB2312"/>
          <w:bCs/>
          <w:sz w:val="28"/>
          <w:szCs w:val="28"/>
          <w:lang w:val="en-US"/>
        </w:rPr>
        <w:t xml:space="preserve">period </w:t>
      </w:r>
      <w:r w:rsidR="00243853">
        <w:rPr>
          <w:rFonts w:eastAsia="仿宋_GB2312"/>
          <w:bCs/>
          <w:sz w:val="28"/>
          <w:szCs w:val="28"/>
          <w:lang w:val="en-US"/>
        </w:rPr>
        <w:t>which</w:t>
      </w:r>
      <w:r w:rsidR="00F77750">
        <w:rPr>
          <w:rFonts w:eastAsia="仿宋_GB2312"/>
          <w:bCs/>
          <w:sz w:val="28"/>
          <w:szCs w:val="28"/>
          <w:lang w:val="en-US"/>
        </w:rPr>
        <w:t xml:space="preserve"> </w:t>
      </w:r>
      <w:r w:rsidR="00424400">
        <w:rPr>
          <w:rFonts w:eastAsia="仿宋_GB2312"/>
          <w:bCs/>
          <w:sz w:val="28"/>
          <w:szCs w:val="28"/>
          <w:lang w:val="en-US"/>
        </w:rPr>
        <w:t>will expire</w:t>
      </w:r>
      <w:r w:rsidR="00424400" w:rsidRPr="00B35B56">
        <w:rPr>
          <w:rFonts w:eastAsia="仿宋_GB2312"/>
          <w:bCs/>
          <w:sz w:val="28"/>
          <w:szCs w:val="28"/>
          <w:lang w:val="en-US"/>
        </w:rPr>
        <w:t xml:space="preserve"> </w:t>
      </w:r>
      <w:r w:rsidRPr="00B35B56">
        <w:rPr>
          <w:rFonts w:eastAsia="仿宋_GB2312"/>
          <w:bCs/>
          <w:sz w:val="28"/>
          <w:szCs w:val="28"/>
          <w:lang w:val="en-US"/>
        </w:rPr>
        <w:t>in June 2019.</w:t>
      </w:r>
    </w:p>
    <w:p w14:paraId="647E86C5" w14:textId="6F82A972" w:rsidR="00946D31" w:rsidRPr="009D1752" w:rsidRDefault="00946D31" w:rsidP="00946D31">
      <w:pPr>
        <w:spacing w:line="360" w:lineRule="auto"/>
        <w:jc w:val="both"/>
        <w:rPr>
          <w:rFonts w:eastAsia="仿宋_GB2312"/>
          <w:b/>
          <w:bCs/>
          <w:sz w:val="28"/>
          <w:szCs w:val="28"/>
          <w:lang w:val="en-US"/>
        </w:rPr>
      </w:pPr>
      <w:r w:rsidRPr="009D1752">
        <w:rPr>
          <w:rFonts w:eastAsia="仿宋_GB2312"/>
          <w:b/>
          <w:bCs/>
          <w:sz w:val="28"/>
          <w:szCs w:val="28"/>
          <w:lang w:val="en-US"/>
        </w:rPr>
        <w:t>Face ++</w:t>
      </w:r>
    </w:p>
    <w:p w14:paraId="61EB1602" w14:textId="7E4CF1AD" w:rsidR="0090632F" w:rsidRPr="009D1752" w:rsidRDefault="00946D31" w:rsidP="009D1752">
      <w:pPr>
        <w:spacing w:line="360" w:lineRule="auto"/>
        <w:jc w:val="both"/>
        <w:rPr>
          <w:rFonts w:eastAsia="仿宋_GB2312"/>
          <w:bCs/>
          <w:sz w:val="28"/>
          <w:szCs w:val="28"/>
          <w:lang w:val="en-US"/>
        </w:rPr>
      </w:pPr>
      <w:r w:rsidRPr="00843287">
        <w:rPr>
          <w:rFonts w:eastAsia="仿宋_GB2312"/>
          <w:bCs/>
          <w:sz w:val="28"/>
          <w:szCs w:val="28"/>
          <w:lang w:val="en-US"/>
        </w:rPr>
        <w:lastRenderedPageBreak/>
        <w:t xml:space="preserve">In </w:t>
      </w:r>
      <w:r>
        <w:rPr>
          <w:rFonts w:eastAsia="仿宋_GB2312"/>
          <w:bCs/>
          <w:sz w:val="28"/>
          <w:szCs w:val="28"/>
          <w:lang w:val="en-US"/>
        </w:rPr>
        <w:t xml:space="preserve">September </w:t>
      </w:r>
      <w:r w:rsidRPr="00843287">
        <w:rPr>
          <w:rFonts w:eastAsia="仿宋_GB2312"/>
          <w:bCs/>
          <w:sz w:val="28"/>
          <w:szCs w:val="28"/>
          <w:lang w:val="en-US"/>
        </w:rPr>
        <w:t xml:space="preserve">2017, </w:t>
      </w:r>
      <w:r>
        <w:rPr>
          <w:rFonts w:eastAsia="仿宋_GB2312"/>
          <w:bCs/>
          <w:sz w:val="28"/>
          <w:szCs w:val="28"/>
          <w:lang w:val="en-US"/>
        </w:rPr>
        <w:t>the Company</w:t>
      </w:r>
      <w:r w:rsidRPr="009D1752">
        <w:rPr>
          <w:rFonts w:eastAsia="仿宋_GB2312"/>
          <w:bCs/>
          <w:sz w:val="28"/>
          <w:szCs w:val="28"/>
          <w:lang w:val="en-US"/>
        </w:rPr>
        <w:t xml:space="preserve"> invested US$30,000,000 during series C2 of Face++’s fundraising at a post-money valuation of US</w:t>
      </w:r>
      <w:r w:rsidR="00732F5F">
        <w:rPr>
          <w:rFonts w:eastAsia="仿宋_GB2312"/>
          <w:bCs/>
          <w:sz w:val="28"/>
          <w:szCs w:val="28"/>
          <w:lang w:val="en-US"/>
        </w:rPr>
        <w:t xml:space="preserve">D </w:t>
      </w:r>
      <w:r w:rsidRPr="009D1752">
        <w:rPr>
          <w:rFonts w:eastAsia="仿宋_GB2312"/>
          <w:bCs/>
          <w:sz w:val="28"/>
          <w:szCs w:val="28"/>
          <w:lang w:val="en-US"/>
        </w:rPr>
        <w:t xml:space="preserve">1.42 billion. </w:t>
      </w:r>
    </w:p>
    <w:p w14:paraId="47DE997E" w14:textId="3D70CF75" w:rsidR="0090632F" w:rsidRPr="009D1752" w:rsidRDefault="0090632F" w:rsidP="009D1752">
      <w:pPr>
        <w:spacing w:line="360" w:lineRule="auto"/>
        <w:jc w:val="both"/>
        <w:rPr>
          <w:rFonts w:eastAsia="仿宋_GB2312"/>
          <w:bCs/>
          <w:sz w:val="28"/>
          <w:szCs w:val="28"/>
          <w:lang w:val="en-US"/>
        </w:rPr>
      </w:pPr>
      <w:r w:rsidRPr="009D1752">
        <w:rPr>
          <w:rFonts w:eastAsia="仿宋_GB2312"/>
          <w:bCs/>
          <w:sz w:val="28"/>
          <w:szCs w:val="28"/>
          <w:lang w:val="en-US"/>
        </w:rPr>
        <w:t xml:space="preserve">After </w:t>
      </w:r>
      <w:r w:rsidR="00424400">
        <w:rPr>
          <w:rFonts w:eastAsia="仿宋_GB2312"/>
          <w:bCs/>
          <w:sz w:val="28"/>
          <w:szCs w:val="28"/>
          <w:lang w:val="en-US"/>
        </w:rPr>
        <w:t xml:space="preserve">Face++’s recent series </w:t>
      </w:r>
      <w:r w:rsidRPr="009D1752">
        <w:rPr>
          <w:rFonts w:eastAsia="仿宋_GB2312"/>
          <w:bCs/>
          <w:sz w:val="28"/>
          <w:szCs w:val="28"/>
          <w:lang w:val="en-US"/>
        </w:rPr>
        <w:t>D</w:t>
      </w:r>
      <w:r w:rsidR="00424400">
        <w:rPr>
          <w:rFonts w:eastAsia="仿宋_GB2312"/>
          <w:bCs/>
          <w:sz w:val="28"/>
          <w:szCs w:val="28"/>
          <w:lang w:val="en-US"/>
        </w:rPr>
        <w:t xml:space="preserve"> fundraising</w:t>
      </w:r>
      <w:r w:rsidRPr="009D1752">
        <w:rPr>
          <w:rFonts w:eastAsia="仿宋_GB2312"/>
          <w:bCs/>
          <w:sz w:val="28"/>
          <w:szCs w:val="28"/>
          <w:lang w:val="en-US"/>
        </w:rPr>
        <w:t xml:space="preserve">, </w:t>
      </w:r>
      <w:r w:rsidR="00424400">
        <w:rPr>
          <w:rFonts w:eastAsia="仿宋_GB2312"/>
          <w:bCs/>
          <w:sz w:val="28"/>
          <w:szCs w:val="28"/>
          <w:lang w:val="en-US"/>
        </w:rPr>
        <w:t>the Company’s shareholding</w:t>
      </w:r>
      <w:r w:rsidRPr="009D1752">
        <w:rPr>
          <w:rFonts w:eastAsia="仿宋_GB2312"/>
          <w:bCs/>
          <w:sz w:val="28"/>
          <w:szCs w:val="28"/>
          <w:lang w:val="en-US"/>
        </w:rPr>
        <w:t xml:space="preserve"> has been diluted to 1.88%. </w:t>
      </w:r>
      <w:r w:rsidR="00741815" w:rsidRPr="009D1752">
        <w:rPr>
          <w:rFonts w:eastAsia="仿宋_GB2312"/>
          <w:bCs/>
          <w:sz w:val="28"/>
          <w:szCs w:val="28"/>
          <w:lang w:val="en-US"/>
        </w:rPr>
        <w:t>We understand that Face++ is currently valued at USD 4 billion</w:t>
      </w:r>
      <w:r w:rsidRPr="009D1752">
        <w:rPr>
          <w:rFonts w:eastAsia="仿宋_GB2312"/>
          <w:bCs/>
          <w:sz w:val="28"/>
          <w:szCs w:val="28"/>
          <w:lang w:val="en-US"/>
        </w:rPr>
        <w:t xml:space="preserve">. </w:t>
      </w:r>
    </w:p>
    <w:p w14:paraId="30E056D2" w14:textId="77777777" w:rsidR="00E0653B" w:rsidRPr="001B358C" w:rsidRDefault="00E0653B" w:rsidP="00E0653B">
      <w:pPr>
        <w:tabs>
          <w:tab w:val="left" w:pos="330"/>
        </w:tabs>
        <w:spacing w:before="220" w:after="220" w:line="360" w:lineRule="auto"/>
        <w:jc w:val="both"/>
        <w:rPr>
          <w:rFonts w:eastAsia="仿宋_GB2312"/>
          <w:b/>
          <w:bCs/>
          <w:sz w:val="28"/>
          <w:szCs w:val="28"/>
          <w:lang w:val="en-US"/>
        </w:rPr>
      </w:pPr>
      <w:proofErr w:type="spellStart"/>
      <w:r>
        <w:rPr>
          <w:rFonts w:eastAsia="仿宋_GB2312"/>
          <w:b/>
          <w:bCs/>
          <w:sz w:val="28"/>
          <w:szCs w:val="28"/>
          <w:lang w:val="en-US"/>
        </w:rPr>
        <w:t>Tuniu</w:t>
      </w:r>
      <w:proofErr w:type="spellEnd"/>
    </w:p>
    <w:p w14:paraId="0404CF3B" w14:textId="5FA7A6DD" w:rsidR="0043180B" w:rsidRDefault="0043180B" w:rsidP="009A2AEF">
      <w:pPr>
        <w:spacing w:line="360" w:lineRule="auto"/>
        <w:jc w:val="both"/>
        <w:rPr>
          <w:rFonts w:eastAsia="仿宋_GB2312"/>
          <w:bCs/>
          <w:sz w:val="28"/>
          <w:szCs w:val="28"/>
          <w:lang w:val="en-US"/>
        </w:rPr>
      </w:pPr>
      <w:proofErr w:type="spellStart"/>
      <w:r w:rsidRPr="0043180B">
        <w:rPr>
          <w:rFonts w:eastAsia="仿宋_GB2312"/>
          <w:bCs/>
          <w:sz w:val="28"/>
          <w:szCs w:val="28"/>
          <w:lang w:val="en-US"/>
        </w:rPr>
        <w:t>Tuniu's</w:t>
      </w:r>
      <w:proofErr w:type="spellEnd"/>
      <w:r w:rsidRPr="0043180B">
        <w:rPr>
          <w:rFonts w:eastAsia="仿宋_GB2312"/>
          <w:bCs/>
          <w:sz w:val="28"/>
          <w:szCs w:val="28"/>
          <w:lang w:val="en-US"/>
        </w:rPr>
        <w:t xml:space="preserve"> tourism performance continued to achieve rapid growth</w:t>
      </w:r>
      <w:r w:rsidR="00CA4D7B">
        <w:rPr>
          <w:rFonts w:eastAsia="仿宋_GB2312"/>
          <w:bCs/>
          <w:sz w:val="28"/>
          <w:szCs w:val="28"/>
          <w:lang w:val="en-US"/>
        </w:rPr>
        <w:t>.  For</w:t>
      </w:r>
      <w:r w:rsidR="00CA4D7B" w:rsidRPr="0043180B">
        <w:rPr>
          <w:rFonts w:eastAsia="仿宋_GB2312"/>
          <w:bCs/>
          <w:sz w:val="28"/>
          <w:szCs w:val="28"/>
          <w:lang w:val="en-US"/>
        </w:rPr>
        <w:t xml:space="preserve"> the </w:t>
      </w:r>
      <w:r w:rsidR="00CA4D7B">
        <w:rPr>
          <w:rFonts w:eastAsia="仿宋_GB2312"/>
          <w:bCs/>
          <w:sz w:val="28"/>
          <w:szCs w:val="28"/>
          <w:lang w:val="en-US"/>
        </w:rPr>
        <w:t>f</w:t>
      </w:r>
      <w:r w:rsidR="00CA4D7B" w:rsidRPr="0043180B">
        <w:rPr>
          <w:rFonts w:eastAsia="仿宋_GB2312"/>
          <w:bCs/>
          <w:sz w:val="28"/>
          <w:szCs w:val="28"/>
          <w:lang w:val="en-US"/>
        </w:rPr>
        <w:t>irst three quarters of 2018,</w:t>
      </w:r>
      <w:r w:rsidRPr="0043180B">
        <w:rPr>
          <w:rFonts w:eastAsia="仿宋_GB2312"/>
          <w:bCs/>
          <w:sz w:val="28"/>
          <w:szCs w:val="28"/>
          <w:lang w:val="en-US"/>
        </w:rPr>
        <w:t xml:space="preserve"> </w:t>
      </w:r>
      <w:proofErr w:type="spellStart"/>
      <w:r w:rsidR="00CA4D7B">
        <w:rPr>
          <w:rFonts w:eastAsia="仿宋_GB2312"/>
          <w:bCs/>
          <w:sz w:val="28"/>
          <w:szCs w:val="28"/>
          <w:lang w:val="en-US"/>
        </w:rPr>
        <w:t>Tuniu</w:t>
      </w:r>
      <w:proofErr w:type="spellEnd"/>
      <w:r w:rsidR="00CA4D7B">
        <w:rPr>
          <w:rFonts w:eastAsia="仿宋_GB2312"/>
          <w:bCs/>
          <w:sz w:val="28"/>
          <w:szCs w:val="28"/>
          <w:lang w:val="en-US"/>
        </w:rPr>
        <w:t xml:space="preserve"> recorded</w:t>
      </w:r>
      <w:r w:rsidRPr="0043180B">
        <w:rPr>
          <w:rFonts w:eastAsia="仿宋_GB2312"/>
          <w:bCs/>
          <w:sz w:val="28"/>
          <w:szCs w:val="28"/>
          <w:lang w:val="en-US"/>
        </w:rPr>
        <w:t xml:space="preserve"> revenue of </w:t>
      </w:r>
      <w:r w:rsidR="00E71FCE">
        <w:rPr>
          <w:rFonts w:eastAsia="仿宋_GB2312"/>
          <w:bCs/>
          <w:sz w:val="28"/>
          <w:szCs w:val="28"/>
          <w:lang w:val="en-US"/>
        </w:rPr>
        <w:t xml:space="preserve">RMB </w:t>
      </w:r>
      <w:r w:rsidRPr="0043180B">
        <w:rPr>
          <w:rFonts w:eastAsia="仿宋_GB2312"/>
          <w:bCs/>
          <w:sz w:val="28"/>
          <w:szCs w:val="28"/>
          <w:lang w:val="en-US"/>
        </w:rPr>
        <w:t>1.77 billion</w:t>
      </w:r>
      <w:r w:rsidR="00CA4D7B">
        <w:rPr>
          <w:rFonts w:eastAsia="仿宋_GB2312"/>
          <w:bCs/>
          <w:sz w:val="28"/>
          <w:szCs w:val="28"/>
          <w:lang w:val="en-US"/>
        </w:rPr>
        <w:t xml:space="preserve"> and</w:t>
      </w:r>
      <w:r w:rsidR="00CA4D7B" w:rsidRPr="0043180B">
        <w:rPr>
          <w:rFonts w:eastAsia="仿宋_GB2312"/>
          <w:bCs/>
          <w:sz w:val="28"/>
          <w:szCs w:val="28"/>
          <w:lang w:val="en-US"/>
        </w:rPr>
        <w:t xml:space="preserve"> </w:t>
      </w:r>
      <w:r w:rsidR="00CA4D7B">
        <w:rPr>
          <w:rFonts w:eastAsia="仿宋_GB2312"/>
          <w:bCs/>
          <w:sz w:val="28"/>
          <w:szCs w:val="28"/>
          <w:lang w:val="en-US"/>
        </w:rPr>
        <w:t xml:space="preserve">net accumulated </w:t>
      </w:r>
      <w:r w:rsidRPr="0043180B">
        <w:rPr>
          <w:rFonts w:eastAsia="仿宋_GB2312"/>
          <w:bCs/>
          <w:sz w:val="28"/>
          <w:szCs w:val="28"/>
          <w:lang w:val="en-US"/>
        </w:rPr>
        <w:t xml:space="preserve">loss of </w:t>
      </w:r>
      <w:r w:rsidR="00E71FCE">
        <w:rPr>
          <w:rFonts w:eastAsia="仿宋_GB2312"/>
          <w:bCs/>
          <w:sz w:val="28"/>
          <w:szCs w:val="28"/>
          <w:lang w:val="en-US"/>
        </w:rPr>
        <w:t xml:space="preserve">RMB 120 million. </w:t>
      </w:r>
      <w:r w:rsidRPr="0043180B">
        <w:rPr>
          <w:rFonts w:eastAsia="仿宋_GB2312"/>
          <w:bCs/>
          <w:sz w:val="28"/>
          <w:szCs w:val="28"/>
          <w:lang w:val="en-US"/>
        </w:rPr>
        <w:t xml:space="preserve">However, </w:t>
      </w:r>
      <w:proofErr w:type="spellStart"/>
      <w:r w:rsidR="005D18A5">
        <w:rPr>
          <w:rFonts w:eastAsia="仿宋_GB2312"/>
          <w:bCs/>
          <w:sz w:val="28"/>
          <w:szCs w:val="28"/>
          <w:lang w:val="en-US"/>
        </w:rPr>
        <w:t>Tuniu</w:t>
      </w:r>
      <w:proofErr w:type="spellEnd"/>
      <w:r w:rsidR="005D18A5">
        <w:rPr>
          <w:rFonts w:eastAsia="仿宋_GB2312"/>
          <w:bCs/>
          <w:sz w:val="28"/>
          <w:szCs w:val="28"/>
          <w:lang w:val="en-US"/>
        </w:rPr>
        <w:t xml:space="preserve"> was able to achieve a positive </w:t>
      </w:r>
      <w:r w:rsidRPr="0043180B">
        <w:rPr>
          <w:rFonts w:eastAsia="仿宋_GB2312"/>
          <w:bCs/>
          <w:sz w:val="28"/>
          <w:szCs w:val="28"/>
          <w:lang w:val="en-US"/>
        </w:rPr>
        <w:t xml:space="preserve">net profit for the third quarter </w:t>
      </w:r>
      <w:r w:rsidR="005D18A5">
        <w:rPr>
          <w:rFonts w:eastAsia="仿宋_GB2312"/>
          <w:bCs/>
          <w:sz w:val="28"/>
          <w:szCs w:val="28"/>
          <w:lang w:val="en-US"/>
        </w:rPr>
        <w:t>of</w:t>
      </w:r>
      <w:r w:rsidR="005D18A5" w:rsidRPr="0043180B">
        <w:rPr>
          <w:rFonts w:eastAsia="仿宋_GB2312"/>
          <w:bCs/>
          <w:sz w:val="28"/>
          <w:szCs w:val="28"/>
          <w:lang w:val="en-US"/>
        </w:rPr>
        <w:t xml:space="preserve"> </w:t>
      </w:r>
      <w:r w:rsidR="00E71FCE">
        <w:rPr>
          <w:rFonts w:eastAsia="仿宋_GB2312"/>
          <w:bCs/>
          <w:sz w:val="28"/>
          <w:szCs w:val="28"/>
          <w:lang w:val="en-US"/>
        </w:rPr>
        <w:t xml:space="preserve">RMB </w:t>
      </w:r>
      <w:r w:rsidRPr="0043180B">
        <w:rPr>
          <w:rFonts w:eastAsia="仿宋_GB2312"/>
          <w:bCs/>
          <w:sz w:val="28"/>
          <w:szCs w:val="28"/>
          <w:lang w:val="en-US"/>
        </w:rPr>
        <w:t xml:space="preserve">83 million, which is the second single-quarter profit since </w:t>
      </w:r>
      <w:r w:rsidR="005D18A5">
        <w:rPr>
          <w:rFonts w:eastAsia="仿宋_GB2312"/>
          <w:bCs/>
          <w:sz w:val="28"/>
          <w:szCs w:val="28"/>
          <w:lang w:val="en-US"/>
        </w:rPr>
        <w:t>Q3</w:t>
      </w:r>
      <w:r w:rsidRPr="0043180B">
        <w:rPr>
          <w:rFonts w:eastAsia="仿宋_GB2312"/>
          <w:bCs/>
          <w:sz w:val="28"/>
          <w:szCs w:val="28"/>
          <w:lang w:val="en-US"/>
        </w:rPr>
        <w:t xml:space="preserve">2017. </w:t>
      </w:r>
    </w:p>
    <w:p w14:paraId="20D6A38E" w14:textId="60369403" w:rsidR="00E60D2E" w:rsidRPr="00FA1F64" w:rsidRDefault="00755AF8" w:rsidP="00E60D2E">
      <w:pPr>
        <w:tabs>
          <w:tab w:val="left" w:pos="330"/>
        </w:tabs>
        <w:spacing w:before="220" w:after="220" w:line="360" w:lineRule="auto"/>
        <w:jc w:val="both"/>
        <w:rPr>
          <w:rFonts w:eastAsia="仿宋_GB2312"/>
          <w:b/>
          <w:bCs/>
          <w:sz w:val="28"/>
          <w:szCs w:val="28"/>
          <w:lang w:val="en-US"/>
        </w:rPr>
      </w:pPr>
      <w:proofErr w:type="spellStart"/>
      <w:r>
        <w:rPr>
          <w:b/>
          <w:sz w:val="28"/>
          <w:szCs w:val="28"/>
        </w:rPr>
        <w:t>Watagan</w:t>
      </w:r>
      <w:proofErr w:type="spellEnd"/>
      <w:r>
        <w:rPr>
          <w:b/>
          <w:sz w:val="28"/>
          <w:szCs w:val="28"/>
        </w:rPr>
        <w:t xml:space="preserve"> (subsidiary of </w:t>
      </w:r>
      <w:proofErr w:type="spellStart"/>
      <w:r w:rsidR="00E60D2E" w:rsidRPr="001100D8">
        <w:rPr>
          <w:rFonts w:hint="eastAsia"/>
          <w:b/>
          <w:sz w:val="28"/>
          <w:szCs w:val="28"/>
        </w:rPr>
        <w:t>Yancoal</w:t>
      </w:r>
      <w:proofErr w:type="spellEnd"/>
      <w:r w:rsidR="00E60D2E" w:rsidRPr="001100D8">
        <w:rPr>
          <w:b/>
          <w:sz w:val="28"/>
          <w:szCs w:val="28"/>
        </w:rPr>
        <w:t xml:space="preserve"> Australia</w:t>
      </w:r>
      <w:r>
        <w:rPr>
          <w:b/>
          <w:sz w:val="28"/>
          <w:szCs w:val="28"/>
        </w:rPr>
        <w:t>)</w:t>
      </w:r>
    </w:p>
    <w:p w14:paraId="0503C57A" w14:textId="0AFF831D" w:rsidR="002371F2" w:rsidRDefault="0043180B" w:rsidP="006A3AB8">
      <w:pPr>
        <w:spacing w:line="360" w:lineRule="auto"/>
        <w:jc w:val="both"/>
        <w:rPr>
          <w:rFonts w:eastAsia="仿宋_GB2312"/>
          <w:bCs/>
          <w:sz w:val="28"/>
          <w:szCs w:val="28"/>
          <w:lang w:val="en-US"/>
        </w:rPr>
      </w:pPr>
      <w:r w:rsidRPr="0043180B">
        <w:rPr>
          <w:rFonts w:eastAsia="仿宋_GB2312"/>
          <w:bCs/>
          <w:sz w:val="28"/>
          <w:szCs w:val="28"/>
          <w:lang w:val="en-US"/>
        </w:rPr>
        <w:t xml:space="preserve">From January to September 2018, </w:t>
      </w:r>
      <w:proofErr w:type="spellStart"/>
      <w:r w:rsidR="00755AF8">
        <w:rPr>
          <w:rFonts w:eastAsia="仿宋_GB2312"/>
          <w:bCs/>
          <w:sz w:val="28"/>
          <w:szCs w:val="28"/>
          <w:lang w:val="en-US"/>
        </w:rPr>
        <w:t>Watagan’s</w:t>
      </w:r>
      <w:proofErr w:type="spellEnd"/>
      <w:r w:rsidR="001C3272">
        <w:rPr>
          <w:rFonts w:eastAsia="仿宋_GB2312"/>
          <w:bCs/>
          <w:sz w:val="28"/>
          <w:szCs w:val="28"/>
          <w:lang w:val="en-US"/>
        </w:rPr>
        <w:t xml:space="preserve"> coal sales revenue was AUD </w:t>
      </w:r>
      <w:r w:rsidRPr="0043180B">
        <w:rPr>
          <w:rFonts w:eastAsia="仿宋_GB2312"/>
          <w:bCs/>
          <w:sz w:val="28"/>
          <w:szCs w:val="28"/>
          <w:lang w:val="en-US"/>
        </w:rPr>
        <w:t>207 million</w:t>
      </w:r>
      <w:r w:rsidR="00C97B66">
        <w:rPr>
          <w:rFonts w:eastAsia="仿宋_GB2312"/>
          <w:bCs/>
          <w:sz w:val="28"/>
          <w:szCs w:val="28"/>
          <w:lang w:val="en-US"/>
        </w:rPr>
        <w:t xml:space="preserve"> (revenue</w:t>
      </w:r>
      <w:r w:rsidR="00C97B66" w:rsidRPr="0043180B">
        <w:rPr>
          <w:rFonts w:eastAsia="仿宋_GB2312"/>
          <w:bCs/>
          <w:sz w:val="28"/>
          <w:szCs w:val="28"/>
          <w:lang w:val="en-US"/>
        </w:rPr>
        <w:t xml:space="preserve"> </w:t>
      </w:r>
      <w:r w:rsidRPr="0043180B">
        <w:rPr>
          <w:rFonts w:eastAsia="仿宋_GB2312"/>
          <w:bCs/>
          <w:sz w:val="28"/>
          <w:szCs w:val="28"/>
          <w:lang w:val="en-US"/>
        </w:rPr>
        <w:t xml:space="preserve">was </w:t>
      </w:r>
      <w:r w:rsidR="00C97B66">
        <w:rPr>
          <w:rFonts w:eastAsia="仿宋_GB2312"/>
          <w:bCs/>
          <w:sz w:val="28"/>
          <w:szCs w:val="28"/>
          <w:lang w:val="en-US"/>
        </w:rPr>
        <w:t xml:space="preserve">negatively </w:t>
      </w:r>
      <w:r w:rsidRPr="0043180B">
        <w:rPr>
          <w:rFonts w:eastAsia="仿宋_GB2312"/>
          <w:bCs/>
          <w:sz w:val="28"/>
          <w:szCs w:val="28"/>
          <w:lang w:val="en-US"/>
        </w:rPr>
        <w:t xml:space="preserve">affected by </w:t>
      </w:r>
      <w:r w:rsidR="00C97B66">
        <w:rPr>
          <w:rFonts w:eastAsia="仿宋_GB2312"/>
          <w:bCs/>
          <w:sz w:val="28"/>
          <w:szCs w:val="28"/>
          <w:lang w:val="en-US"/>
        </w:rPr>
        <w:t xml:space="preserve">the temporary </w:t>
      </w:r>
      <w:r w:rsidRPr="0043180B">
        <w:rPr>
          <w:rFonts w:eastAsia="仿宋_GB2312"/>
          <w:bCs/>
          <w:sz w:val="28"/>
          <w:szCs w:val="28"/>
          <w:lang w:val="en-US"/>
        </w:rPr>
        <w:t>production</w:t>
      </w:r>
      <w:r w:rsidR="00755AF8">
        <w:rPr>
          <w:rFonts w:eastAsia="仿宋_GB2312"/>
          <w:bCs/>
          <w:sz w:val="28"/>
          <w:szCs w:val="28"/>
          <w:lang w:val="en-US"/>
        </w:rPr>
        <w:t xml:space="preserve"> </w:t>
      </w:r>
      <w:r w:rsidR="00C97B66">
        <w:rPr>
          <w:rFonts w:eastAsia="仿宋_GB2312"/>
          <w:bCs/>
          <w:sz w:val="28"/>
          <w:szCs w:val="28"/>
          <w:lang w:val="en-US"/>
        </w:rPr>
        <w:t xml:space="preserve">suspension at the </w:t>
      </w:r>
      <w:r w:rsidRPr="0043180B">
        <w:rPr>
          <w:rFonts w:eastAsia="仿宋_GB2312"/>
          <w:bCs/>
          <w:sz w:val="28"/>
          <w:szCs w:val="28"/>
          <w:lang w:val="en-US"/>
        </w:rPr>
        <w:t>Austar mining area</w:t>
      </w:r>
      <w:r w:rsidR="00C97B66">
        <w:rPr>
          <w:rFonts w:eastAsia="仿宋_GB2312"/>
          <w:bCs/>
          <w:sz w:val="28"/>
          <w:szCs w:val="28"/>
          <w:lang w:val="en-US"/>
        </w:rPr>
        <w:t xml:space="preserve"> due to an explosion, but</w:t>
      </w:r>
      <w:r w:rsidR="00755AF8">
        <w:rPr>
          <w:rFonts w:eastAsia="仿宋_GB2312"/>
          <w:bCs/>
          <w:sz w:val="28"/>
          <w:szCs w:val="28"/>
          <w:lang w:val="en-US"/>
        </w:rPr>
        <w:t xml:space="preserve"> production</w:t>
      </w:r>
      <w:r w:rsidRPr="0043180B">
        <w:rPr>
          <w:rFonts w:eastAsia="仿宋_GB2312"/>
          <w:bCs/>
          <w:sz w:val="28"/>
          <w:szCs w:val="28"/>
          <w:lang w:val="en-US"/>
        </w:rPr>
        <w:t xml:space="preserve"> has </w:t>
      </w:r>
      <w:r w:rsidR="00C97B66">
        <w:rPr>
          <w:rFonts w:eastAsia="仿宋_GB2312"/>
          <w:bCs/>
          <w:sz w:val="28"/>
          <w:szCs w:val="28"/>
          <w:lang w:val="en-US"/>
        </w:rPr>
        <w:t xml:space="preserve">since </w:t>
      </w:r>
      <w:r w:rsidRPr="0043180B">
        <w:rPr>
          <w:rFonts w:eastAsia="仿宋_GB2312"/>
          <w:bCs/>
          <w:sz w:val="28"/>
          <w:szCs w:val="28"/>
          <w:lang w:val="en-US"/>
        </w:rPr>
        <w:t>resumed</w:t>
      </w:r>
      <w:r w:rsidR="00C97B66">
        <w:rPr>
          <w:rFonts w:eastAsia="仿宋_GB2312"/>
          <w:bCs/>
          <w:sz w:val="28"/>
          <w:szCs w:val="28"/>
          <w:lang w:val="en-US"/>
        </w:rPr>
        <w:t>)</w:t>
      </w:r>
      <w:r w:rsidR="001C3272">
        <w:rPr>
          <w:rFonts w:eastAsia="仿宋_GB2312"/>
          <w:bCs/>
          <w:sz w:val="28"/>
          <w:szCs w:val="28"/>
          <w:lang w:val="en-US"/>
        </w:rPr>
        <w:t xml:space="preserve">, EBITDA </w:t>
      </w:r>
      <w:r w:rsidR="00A84CCF">
        <w:rPr>
          <w:rFonts w:eastAsia="仿宋_GB2312"/>
          <w:bCs/>
          <w:sz w:val="28"/>
          <w:szCs w:val="28"/>
          <w:lang w:val="en-US"/>
        </w:rPr>
        <w:t>was negative</w:t>
      </w:r>
      <w:r w:rsidR="001C3272">
        <w:rPr>
          <w:rFonts w:eastAsia="仿宋_GB2312"/>
          <w:bCs/>
          <w:sz w:val="28"/>
          <w:szCs w:val="28"/>
          <w:lang w:val="en-US"/>
        </w:rPr>
        <w:t xml:space="preserve"> AUD </w:t>
      </w:r>
      <w:r w:rsidRPr="0043180B">
        <w:rPr>
          <w:rFonts w:eastAsia="仿宋_GB2312"/>
          <w:bCs/>
          <w:sz w:val="28"/>
          <w:szCs w:val="28"/>
          <w:lang w:val="en-US"/>
        </w:rPr>
        <w:t>38 million and loss be</w:t>
      </w:r>
      <w:r w:rsidR="001C3272">
        <w:rPr>
          <w:rFonts w:eastAsia="仿宋_GB2312"/>
          <w:bCs/>
          <w:sz w:val="28"/>
          <w:szCs w:val="28"/>
          <w:lang w:val="en-US"/>
        </w:rPr>
        <w:t xml:space="preserve">fore tax </w:t>
      </w:r>
      <w:r w:rsidR="00A84CCF">
        <w:rPr>
          <w:rFonts w:eastAsia="仿宋_GB2312"/>
          <w:bCs/>
          <w:sz w:val="28"/>
          <w:szCs w:val="28"/>
          <w:lang w:val="en-US"/>
        </w:rPr>
        <w:t xml:space="preserve">was </w:t>
      </w:r>
      <w:r w:rsidR="001C3272">
        <w:rPr>
          <w:rFonts w:eastAsia="仿宋_GB2312"/>
          <w:bCs/>
          <w:sz w:val="28"/>
          <w:szCs w:val="28"/>
          <w:lang w:val="en-US"/>
        </w:rPr>
        <w:t>AUD 204 million (including exchange losses of AUD72 million). I</w:t>
      </w:r>
      <w:r w:rsidRPr="0043180B">
        <w:rPr>
          <w:rFonts w:eastAsia="仿宋_GB2312"/>
          <w:bCs/>
          <w:sz w:val="28"/>
          <w:szCs w:val="28"/>
          <w:lang w:val="en-US"/>
        </w:rPr>
        <w:t xml:space="preserve">t </w:t>
      </w:r>
      <w:r w:rsidR="001C3272">
        <w:rPr>
          <w:rFonts w:eastAsia="仿宋_GB2312"/>
          <w:bCs/>
          <w:sz w:val="28"/>
          <w:szCs w:val="28"/>
          <w:lang w:val="en-US"/>
        </w:rPr>
        <w:t xml:space="preserve">is </w:t>
      </w:r>
      <w:r w:rsidR="00A84CCF">
        <w:rPr>
          <w:rFonts w:eastAsia="仿宋_GB2312"/>
          <w:bCs/>
          <w:sz w:val="28"/>
          <w:szCs w:val="28"/>
          <w:lang w:val="en-US"/>
        </w:rPr>
        <w:t xml:space="preserve">projected that </w:t>
      </w:r>
      <w:proofErr w:type="spellStart"/>
      <w:r w:rsidR="00A84CCF">
        <w:rPr>
          <w:rFonts w:eastAsia="仿宋_GB2312"/>
          <w:bCs/>
          <w:sz w:val="28"/>
          <w:szCs w:val="28"/>
          <w:lang w:val="en-US"/>
        </w:rPr>
        <w:t>Watagan</w:t>
      </w:r>
      <w:proofErr w:type="spellEnd"/>
      <w:r w:rsidR="00A84CCF">
        <w:rPr>
          <w:rFonts w:eastAsia="仿宋_GB2312"/>
          <w:bCs/>
          <w:sz w:val="28"/>
          <w:szCs w:val="28"/>
          <w:lang w:val="en-US"/>
        </w:rPr>
        <w:t xml:space="preserve"> will record</w:t>
      </w:r>
      <w:r w:rsidR="001C3272">
        <w:rPr>
          <w:rFonts w:eastAsia="仿宋_GB2312"/>
          <w:bCs/>
          <w:sz w:val="28"/>
          <w:szCs w:val="28"/>
          <w:lang w:val="en-US"/>
        </w:rPr>
        <w:t xml:space="preserve"> a </w:t>
      </w:r>
      <w:r w:rsidR="00A84CCF">
        <w:rPr>
          <w:rFonts w:eastAsia="仿宋_GB2312"/>
          <w:bCs/>
          <w:sz w:val="28"/>
          <w:szCs w:val="28"/>
          <w:lang w:val="en-US"/>
        </w:rPr>
        <w:t xml:space="preserve">net </w:t>
      </w:r>
      <w:r w:rsidR="001C3272">
        <w:rPr>
          <w:rFonts w:eastAsia="仿宋_GB2312"/>
          <w:bCs/>
          <w:sz w:val="28"/>
          <w:szCs w:val="28"/>
          <w:lang w:val="en-US"/>
        </w:rPr>
        <w:t>loss of AUD</w:t>
      </w:r>
      <w:r w:rsidRPr="0043180B">
        <w:rPr>
          <w:rFonts w:eastAsia="仿宋_GB2312"/>
          <w:bCs/>
          <w:sz w:val="28"/>
          <w:szCs w:val="28"/>
          <w:lang w:val="en-US"/>
        </w:rPr>
        <w:t xml:space="preserve">263 million for the full year. </w:t>
      </w:r>
      <w:proofErr w:type="spellStart"/>
      <w:r w:rsidR="00A84CCF">
        <w:rPr>
          <w:rFonts w:eastAsia="仿宋_GB2312"/>
          <w:bCs/>
          <w:sz w:val="28"/>
          <w:szCs w:val="28"/>
          <w:lang w:val="en-US"/>
        </w:rPr>
        <w:t>Watagan’s</w:t>
      </w:r>
      <w:proofErr w:type="spellEnd"/>
      <w:r w:rsidR="00A84CCF">
        <w:rPr>
          <w:rFonts w:eastAsia="仿宋_GB2312"/>
          <w:bCs/>
          <w:sz w:val="28"/>
          <w:szCs w:val="28"/>
          <w:lang w:val="en-US"/>
        </w:rPr>
        <w:t xml:space="preserve"> shareholder, </w:t>
      </w:r>
      <w:proofErr w:type="spellStart"/>
      <w:r w:rsidRPr="0043180B">
        <w:rPr>
          <w:rFonts w:eastAsia="仿宋_GB2312"/>
          <w:bCs/>
          <w:sz w:val="28"/>
          <w:szCs w:val="28"/>
          <w:lang w:val="en-US"/>
        </w:rPr>
        <w:t>Yancoal</w:t>
      </w:r>
      <w:proofErr w:type="spellEnd"/>
      <w:r w:rsidRPr="0043180B">
        <w:rPr>
          <w:rFonts w:eastAsia="仿宋_GB2312"/>
          <w:bCs/>
          <w:sz w:val="28"/>
          <w:szCs w:val="28"/>
          <w:lang w:val="en-US"/>
        </w:rPr>
        <w:t xml:space="preserve"> Australia</w:t>
      </w:r>
      <w:r w:rsidR="00A84CCF">
        <w:rPr>
          <w:rFonts w:eastAsia="仿宋_GB2312"/>
          <w:bCs/>
          <w:sz w:val="28"/>
          <w:szCs w:val="28"/>
          <w:lang w:val="en-US"/>
        </w:rPr>
        <w:t>,</w:t>
      </w:r>
      <w:r w:rsidRPr="0043180B">
        <w:rPr>
          <w:rFonts w:eastAsia="仿宋_GB2312"/>
          <w:bCs/>
          <w:sz w:val="28"/>
          <w:szCs w:val="28"/>
          <w:lang w:val="en-US"/>
        </w:rPr>
        <w:t xml:space="preserve"> </w:t>
      </w:r>
      <w:r w:rsidR="00A84CCF">
        <w:rPr>
          <w:rFonts w:eastAsia="仿宋_GB2312"/>
          <w:bCs/>
          <w:sz w:val="28"/>
          <w:szCs w:val="28"/>
          <w:lang w:val="en-US"/>
        </w:rPr>
        <w:t>already listed on the ASX, became a dual</w:t>
      </w:r>
      <w:r w:rsidR="009E5F79">
        <w:rPr>
          <w:rFonts w:eastAsia="仿宋_GB2312"/>
          <w:bCs/>
          <w:sz w:val="28"/>
          <w:szCs w:val="28"/>
          <w:lang w:val="en-US"/>
        </w:rPr>
        <w:t>-</w:t>
      </w:r>
      <w:r w:rsidR="00A84CCF">
        <w:rPr>
          <w:rFonts w:eastAsia="仿宋_GB2312"/>
          <w:bCs/>
          <w:sz w:val="28"/>
          <w:szCs w:val="28"/>
          <w:lang w:val="en-US"/>
        </w:rPr>
        <w:t xml:space="preserve">listed company with its IPO </w:t>
      </w:r>
      <w:r w:rsidRPr="0043180B">
        <w:rPr>
          <w:rFonts w:eastAsia="仿宋_GB2312"/>
          <w:bCs/>
          <w:sz w:val="28"/>
          <w:szCs w:val="28"/>
          <w:lang w:val="en-US"/>
        </w:rPr>
        <w:t>on the Hong Kong Stock Exchan</w:t>
      </w:r>
      <w:r w:rsidR="00786294">
        <w:rPr>
          <w:rFonts w:eastAsia="仿宋_GB2312"/>
          <w:bCs/>
          <w:sz w:val="28"/>
          <w:szCs w:val="28"/>
          <w:lang w:val="en-US"/>
        </w:rPr>
        <w:t xml:space="preserve">ge </w:t>
      </w:r>
      <w:r w:rsidR="0072107B">
        <w:rPr>
          <w:rFonts w:eastAsia="仿宋_GB2312"/>
          <w:bCs/>
          <w:sz w:val="28"/>
          <w:szCs w:val="28"/>
          <w:lang w:val="en-US"/>
        </w:rPr>
        <w:t xml:space="preserve">in </w:t>
      </w:r>
      <w:r w:rsidR="00786294">
        <w:rPr>
          <w:rFonts w:eastAsia="仿宋_GB2312"/>
          <w:bCs/>
          <w:sz w:val="28"/>
          <w:szCs w:val="28"/>
          <w:lang w:val="en-US"/>
        </w:rPr>
        <w:t xml:space="preserve">December </w:t>
      </w:r>
      <w:r w:rsidR="0072107B">
        <w:rPr>
          <w:rFonts w:eastAsia="仿宋_GB2312"/>
          <w:bCs/>
          <w:sz w:val="28"/>
          <w:szCs w:val="28"/>
          <w:lang w:val="en-US"/>
        </w:rPr>
        <w:t>2018</w:t>
      </w:r>
      <w:r w:rsidR="00786294">
        <w:rPr>
          <w:rFonts w:eastAsia="仿宋_GB2312"/>
          <w:bCs/>
          <w:sz w:val="28"/>
          <w:szCs w:val="28"/>
          <w:lang w:val="en-US"/>
        </w:rPr>
        <w:t xml:space="preserve">. </w:t>
      </w:r>
      <w:r w:rsidR="009E5F79">
        <w:rPr>
          <w:rFonts w:eastAsia="仿宋_GB2312"/>
          <w:bCs/>
          <w:sz w:val="28"/>
          <w:szCs w:val="28"/>
          <w:lang w:val="en-US"/>
        </w:rPr>
        <w:t xml:space="preserve"> </w:t>
      </w:r>
    </w:p>
    <w:p w14:paraId="66360773" w14:textId="26D0FFDD" w:rsidR="006A3AB8" w:rsidRPr="00FA1F64" w:rsidRDefault="006A3AB8" w:rsidP="006A3AB8">
      <w:pPr>
        <w:tabs>
          <w:tab w:val="left" w:pos="330"/>
        </w:tabs>
        <w:spacing w:before="220" w:after="220" w:line="360" w:lineRule="auto"/>
        <w:jc w:val="both"/>
        <w:rPr>
          <w:rFonts w:eastAsia="仿宋_GB2312"/>
          <w:b/>
          <w:bCs/>
          <w:sz w:val="28"/>
          <w:szCs w:val="28"/>
          <w:lang w:val="en-US"/>
        </w:rPr>
      </w:pPr>
      <w:r>
        <w:rPr>
          <w:b/>
          <w:sz w:val="28"/>
          <w:szCs w:val="28"/>
        </w:rPr>
        <w:lastRenderedPageBreak/>
        <w:t>WANDA</w:t>
      </w:r>
    </w:p>
    <w:p w14:paraId="1DEC6AC1" w14:textId="7C8699C0" w:rsidR="00E64BFE" w:rsidRDefault="0043180B" w:rsidP="006A3AB8">
      <w:pPr>
        <w:spacing w:line="360" w:lineRule="auto"/>
        <w:jc w:val="both"/>
        <w:rPr>
          <w:rFonts w:eastAsia="仿宋_GB2312"/>
          <w:bCs/>
          <w:sz w:val="28"/>
          <w:szCs w:val="28"/>
          <w:lang w:val="en-US"/>
        </w:rPr>
      </w:pPr>
      <w:r w:rsidRPr="0043180B">
        <w:rPr>
          <w:rFonts w:eastAsia="仿宋_GB2312"/>
          <w:bCs/>
          <w:sz w:val="28"/>
          <w:szCs w:val="28"/>
          <w:lang w:val="en-US"/>
        </w:rPr>
        <w:t>Wanda Commercial Real Estate failed to achieve listing on</w:t>
      </w:r>
      <w:r w:rsidR="009E5F79">
        <w:rPr>
          <w:rFonts w:eastAsia="仿宋_GB2312"/>
          <w:bCs/>
          <w:sz w:val="28"/>
          <w:szCs w:val="28"/>
          <w:lang w:val="en-US"/>
        </w:rPr>
        <w:t xml:space="preserve"> any of China's stock exchanges, in response,</w:t>
      </w:r>
      <w:r w:rsidRPr="0043180B">
        <w:rPr>
          <w:rFonts w:eastAsia="仿宋_GB2312"/>
          <w:bCs/>
          <w:sz w:val="28"/>
          <w:szCs w:val="28"/>
          <w:lang w:val="en-US"/>
        </w:rPr>
        <w:t xml:space="preserve"> Wanda Group fulfilled its commitment to repurchase </w:t>
      </w:r>
      <w:r w:rsidR="009E5F79">
        <w:rPr>
          <w:rFonts w:eastAsia="仿宋_GB2312"/>
          <w:bCs/>
          <w:sz w:val="28"/>
          <w:szCs w:val="28"/>
          <w:lang w:val="en-US"/>
        </w:rPr>
        <w:t xml:space="preserve">its shares </w:t>
      </w:r>
      <w:r w:rsidR="001C3272">
        <w:rPr>
          <w:rFonts w:eastAsia="仿宋_GB2312"/>
          <w:bCs/>
          <w:sz w:val="28"/>
          <w:szCs w:val="28"/>
          <w:lang w:val="en-US"/>
        </w:rPr>
        <w:t xml:space="preserve">from </w:t>
      </w:r>
      <w:r w:rsidRPr="0043180B">
        <w:rPr>
          <w:rFonts w:eastAsia="仿宋_GB2312"/>
          <w:bCs/>
          <w:sz w:val="28"/>
          <w:szCs w:val="28"/>
          <w:lang w:val="en-US"/>
        </w:rPr>
        <w:t>i</w:t>
      </w:r>
      <w:r w:rsidR="00F46B13">
        <w:rPr>
          <w:rFonts w:eastAsia="仿宋_GB2312"/>
          <w:bCs/>
          <w:sz w:val="28"/>
          <w:szCs w:val="28"/>
          <w:lang w:val="en-US"/>
        </w:rPr>
        <w:t>nvestors. The</w:t>
      </w:r>
      <w:r w:rsidR="009E5F79">
        <w:rPr>
          <w:rFonts w:eastAsia="仿宋_GB2312"/>
          <w:bCs/>
          <w:sz w:val="28"/>
          <w:szCs w:val="28"/>
          <w:lang w:val="en-US"/>
        </w:rPr>
        <w:t xml:space="preserve"> Company’s</w:t>
      </w:r>
      <w:r w:rsidR="00F46B13">
        <w:rPr>
          <w:rFonts w:eastAsia="仿宋_GB2312"/>
          <w:bCs/>
          <w:sz w:val="28"/>
          <w:szCs w:val="28"/>
          <w:lang w:val="en-US"/>
        </w:rPr>
        <w:t xml:space="preserve"> two </w:t>
      </w:r>
      <w:r w:rsidR="00F04245">
        <w:rPr>
          <w:rFonts w:eastAsia="仿宋_GB2312"/>
          <w:bCs/>
          <w:sz w:val="28"/>
          <w:szCs w:val="28"/>
          <w:lang w:val="en-US"/>
        </w:rPr>
        <w:t xml:space="preserve">deal </w:t>
      </w:r>
      <w:r w:rsidR="00F46B13">
        <w:rPr>
          <w:rFonts w:eastAsia="仿宋_GB2312"/>
          <w:bCs/>
          <w:sz w:val="28"/>
          <w:szCs w:val="28"/>
          <w:lang w:val="en-US"/>
        </w:rPr>
        <w:t>funds</w:t>
      </w:r>
      <w:r w:rsidR="009E5F79">
        <w:rPr>
          <w:rFonts w:eastAsia="仿宋_GB2312"/>
          <w:bCs/>
          <w:sz w:val="28"/>
          <w:szCs w:val="28"/>
          <w:lang w:val="en-US"/>
        </w:rPr>
        <w:t xml:space="preserve"> </w:t>
      </w:r>
      <w:r w:rsidR="00F04245">
        <w:rPr>
          <w:rFonts w:eastAsia="仿宋_GB2312"/>
          <w:bCs/>
          <w:sz w:val="28"/>
          <w:szCs w:val="28"/>
          <w:lang w:val="en-US"/>
        </w:rPr>
        <w:t xml:space="preserve">investing in the Wanda transaction </w:t>
      </w:r>
      <w:r w:rsidR="009E5F79">
        <w:rPr>
          <w:rFonts w:eastAsia="仿宋_GB2312"/>
          <w:bCs/>
          <w:sz w:val="28"/>
          <w:szCs w:val="28"/>
          <w:lang w:val="en-US"/>
        </w:rPr>
        <w:t>have received our original investment plus repurchase interest in full and we are presently in the process of liquidating the two funds</w:t>
      </w:r>
      <w:r w:rsidR="001C3272">
        <w:rPr>
          <w:rFonts w:eastAsia="仿宋_GB2312"/>
          <w:bCs/>
          <w:sz w:val="28"/>
          <w:szCs w:val="28"/>
          <w:lang w:val="en-US"/>
        </w:rPr>
        <w:t>.</w:t>
      </w:r>
    </w:p>
    <w:p w14:paraId="45B89FBE" w14:textId="77777777" w:rsidR="00F04245" w:rsidRDefault="00F04245" w:rsidP="009A2AEF">
      <w:pPr>
        <w:spacing w:line="360" w:lineRule="auto"/>
        <w:jc w:val="both"/>
        <w:rPr>
          <w:rFonts w:eastAsia="仿宋_GB2312"/>
          <w:bCs/>
          <w:sz w:val="28"/>
          <w:szCs w:val="28"/>
          <w:lang w:val="en-US"/>
        </w:rPr>
      </w:pPr>
    </w:p>
    <w:p w14:paraId="35F04E9B" w14:textId="474C779F" w:rsidR="00CD21A4" w:rsidRPr="009A2AEF" w:rsidRDefault="0043180B" w:rsidP="009A2AEF">
      <w:pPr>
        <w:spacing w:line="360" w:lineRule="auto"/>
        <w:jc w:val="both"/>
        <w:rPr>
          <w:rFonts w:eastAsia="仿宋_GB2312"/>
          <w:bCs/>
          <w:sz w:val="28"/>
          <w:szCs w:val="28"/>
          <w:lang w:val="en-US"/>
        </w:rPr>
      </w:pPr>
      <w:r w:rsidRPr="009A2AEF">
        <w:rPr>
          <w:rFonts w:eastAsia="仿宋_GB2312"/>
          <w:bCs/>
          <w:sz w:val="28"/>
          <w:szCs w:val="28"/>
          <w:lang w:val="en-US"/>
        </w:rPr>
        <w:t xml:space="preserve">In </w:t>
      </w:r>
      <w:r w:rsidR="00F04245">
        <w:rPr>
          <w:rFonts w:eastAsia="仿宋_GB2312"/>
          <w:bCs/>
          <w:sz w:val="28"/>
          <w:szCs w:val="28"/>
          <w:lang w:val="en-US"/>
        </w:rPr>
        <w:t xml:space="preserve">2018, </w:t>
      </w:r>
      <w:r w:rsidRPr="009A2AEF">
        <w:rPr>
          <w:rFonts w:eastAsia="仿宋_GB2312"/>
          <w:bCs/>
          <w:sz w:val="28"/>
          <w:szCs w:val="28"/>
          <w:lang w:val="en-US"/>
        </w:rPr>
        <w:t xml:space="preserve">the </w:t>
      </w:r>
      <w:r w:rsidR="00F04245">
        <w:rPr>
          <w:rFonts w:eastAsia="仿宋_GB2312"/>
          <w:bCs/>
          <w:sz w:val="28"/>
          <w:szCs w:val="28"/>
          <w:lang w:val="en-US"/>
        </w:rPr>
        <w:t xml:space="preserve">Chinese </w:t>
      </w:r>
      <w:r w:rsidRPr="009A2AEF">
        <w:rPr>
          <w:rFonts w:eastAsia="仿宋_GB2312"/>
          <w:bCs/>
          <w:sz w:val="28"/>
          <w:szCs w:val="28"/>
          <w:lang w:val="en-US"/>
        </w:rPr>
        <w:t xml:space="preserve">private equity industry </w:t>
      </w:r>
      <w:r w:rsidR="00F04245">
        <w:rPr>
          <w:rFonts w:eastAsia="仿宋_GB2312"/>
          <w:bCs/>
          <w:sz w:val="28"/>
          <w:szCs w:val="28"/>
          <w:lang w:val="en-US"/>
        </w:rPr>
        <w:t xml:space="preserve">has </w:t>
      </w:r>
      <w:r w:rsidRPr="009A2AEF">
        <w:rPr>
          <w:rFonts w:eastAsia="仿宋_GB2312"/>
          <w:bCs/>
          <w:sz w:val="28"/>
          <w:szCs w:val="28"/>
          <w:lang w:val="en-US"/>
        </w:rPr>
        <w:t>faced</w:t>
      </w:r>
      <w:r w:rsidR="00F04245">
        <w:rPr>
          <w:rFonts w:eastAsia="仿宋_GB2312"/>
          <w:bCs/>
          <w:sz w:val="28"/>
          <w:szCs w:val="28"/>
          <w:lang w:val="en-US"/>
        </w:rPr>
        <w:t xml:space="preserve"> and will continue to face</w:t>
      </w:r>
      <w:r w:rsidRPr="009A2AEF">
        <w:rPr>
          <w:rFonts w:eastAsia="仿宋_GB2312"/>
          <w:bCs/>
          <w:sz w:val="28"/>
          <w:szCs w:val="28"/>
          <w:lang w:val="en-US"/>
        </w:rPr>
        <w:t xml:space="preserve"> unprecedented challenges</w:t>
      </w:r>
      <w:r w:rsidR="00F46B13" w:rsidRPr="009A2AEF">
        <w:rPr>
          <w:rFonts w:eastAsia="仿宋_GB2312"/>
          <w:bCs/>
          <w:sz w:val="28"/>
          <w:szCs w:val="28"/>
          <w:lang w:val="en-US"/>
        </w:rPr>
        <w:t xml:space="preserve">. The industry </w:t>
      </w:r>
      <w:r w:rsidR="00F04245">
        <w:rPr>
          <w:rFonts w:eastAsia="仿宋_GB2312"/>
          <w:bCs/>
          <w:sz w:val="28"/>
          <w:szCs w:val="28"/>
          <w:lang w:val="en-US"/>
        </w:rPr>
        <w:t xml:space="preserve">is being </w:t>
      </w:r>
      <w:r w:rsidR="00F46B13" w:rsidRPr="009A2AEF">
        <w:rPr>
          <w:rFonts w:eastAsia="仿宋_GB2312"/>
          <w:bCs/>
          <w:sz w:val="28"/>
          <w:szCs w:val="28"/>
          <w:lang w:val="en-US"/>
        </w:rPr>
        <w:t>reshuffled</w:t>
      </w:r>
      <w:r w:rsidR="00F04245">
        <w:rPr>
          <w:rFonts w:eastAsia="仿宋_GB2312"/>
          <w:bCs/>
          <w:sz w:val="28"/>
          <w:szCs w:val="28"/>
          <w:lang w:val="en-US"/>
        </w:rPr>
        <w:t xml:space="preserve"> and </w:t>
      </w:r>
      <w:r w:rsidR="008234BB">
        <w:rPr>
          <w:rFonts w:eastAsia="仿宋_GB2312"/>
          <w:bCs/>
          <w:sz w:val="28"/>
          <w:szCs w:val="28"/>
          <w:lang w:val="en-US"/>
        </w:rPr>
        <w:t>many will not survive the coming year</w:t>
      </w:r>
      <w:r w:rsidR="00F46B13" w:rsidRPr="009A2AEF">
        <w:rPr>
          <w:rFonts w:eastAsia="仿宋_GB2312"/>
          <w:bCs/>
          <w:sz w:val="28"/>
          <w:szCs w:val="28"/>
          <w:lang w:val="en-US"/>
        </w:rPr>
        <w:t>. The M</w:t>
      </w:r>
      <w:r w:rsidRPr="009A2AEF">
        <w:rPr>
          <w:rFonts w:eastAsia="仿宋_GB2312"/>
          <w:bCs/>
          <w:sz w:val="28"/>
          <w:szCs w:val="28"/>
          <w:lang w:val="en-US"/>
        </w:rPr>
        <w:t>anag</w:t>
      </w:r>
      <w:r w:rsidR="00F46B13" w:rsidRPr="009A2AEF">
        <w:rPr>
          <w:rFonts w:eastAsia="仿宋_GB2312"/>
          <w:bCs/>
          <w:sz w:val="28"/>
          <w:szCs w:val="28"/>
          <w:lang w:val="en-US"/>
        </w:rPr>
        <w:t>ement of the C</w:t>
      </w:r>
      <w:r w:rsidR="001C3272" w:rsidRPr="009A2AEF">
        <w:rPr>
          <w:rFonts w:eastAsia="仿宋_GB2312"/>
          <w:bCs/>
          <w:sz w:val="28"/>
          <w:szCs w:val="28"/>
          <w:lang w:val="en-US"/>
        </w:rPr>
        <w:t xml:space="preserve">ompany </w:t>
      </w:r>
      <w:r w:rsidR="00F04245">
        <w:rPr>
          <w:rFonts w:eastAsia="仿宋_GB2312"/>
          <w:bCs/>
          <w:sz w:val="28"/>
          <w:szCs w:val="28"/>
          <w:lang w:val="en-US"/>
        </w:rPr>
        <w:t xml:space="preserve">is </w:t>
      </w:r>
      <w:r w:rsidR="001C3272" w:rsidRPr="009A2AEF">
        <w:rPr>
          <w:rFonts w:eastAsia="仿宋_GB2312"/>
          <w:bCs/>
          <w:sz w:val="28"/>
          <w:szCs w:val="28"/>
          <w:lang w:val="en-US"/>
        </w:rPr>
        <w:t>propos</w:t>
      </w:r>
      <w:r w:rsidR="00F04245">
        <w:rPr>
          <w:rFonts w:eastAsia="仿宋_GB2312"/>
          <w:bCs/>
          <w:sz w:val="28"/>
          <w:szCs w:val="28"/>
          <w:lang w:val="en-US"/>
        </w:rPr>
        <w:t xml:space="preserve">ing to adjust our </w:t>
      </w:r>
      <w:r w:rsidR="00787CD6">
        <w:rPr>
          <w:rFonts w:eastAsia="仿宋_GB2312"/>
          <w:bCs/>
          <w:sz w:val="28"/>
          <w:szCs w:val="28"/>
          <w:lang w:val="en-US"/>
        </w:rPr>
        <w:t xml:space="preserve">cross-border-centric </w:t>
      </w:r>
      <w:r w:rsidR="00BA37A1">
        <w:rPr>
          <w:rFonts w:eastAsia="仿宋_GB2312"/>
          <w:bCs/>
          <w:sz w:val="28"/>
          <w:szCs w:val="28"/>
          <w:lang w:val="en-US"/>
        </w:rPr>
        <w:t>strategy</w:t>
      </w:r>
      <w:r w:rsidR="00F04245">
        <w:rPr>
          <w:rFonts w:eastAsia="仿宋_GB2312"/>
          <w:bCs/>
          <w:sz w:val="28"/>
          <w:szCs w:val="28"/>
          <w:lang w:val="en-US"/>
        </w:rPr>
        <w:t xml:space="preserve"> in light of </w:t>
      </w:r>
      <w:r w:rsidR="00BA37A1">
        <w:rPr>
          <w:rFonts w:eastAsia="仿宋_GB2312"/>
          <w:bCs/>
          <w:sz w:val="28"/>
          <w:szCs w:val="28"/>
          <w:lang w:val="en-US"/>
        </w:rPr>
        <w:t>market and other</w:t>
      </w:r>
      <w:r w:rsidR="00F04245">
        <w:rPr>
          <w:rFonts w:eastAsia="仿宋_GB2312"/>
          <w:bCs/>
          <w:sz w:val="28"/>
          <w:szCs w:val="28"/>
          <w:lang w:val="en-US"/>
        </w:rPr>
        <w:t xml:space="preserve"> circumstances</w:t>
      </w:r>
      <w:r w:rsidR="00BA37A1">
        <w:rPr>
          <w:rFonts w:eastAsia="仿宋_GB2312"/>
          <w:bCs/>
          <w:sz w:val="28"/>
          <w:szCs w:val="28"/>
          <w:lang w:val="en-US"/>
        </w:rPr>
        <w:t xml:space="preserve"> to (</w:t>
      </w:r>
      <w:proofErr w:type="spellStart"/>
      <w:r w:rsidR="00BA37A1">
        <w:rPr>
          <w:rFonts w:eastAsia="仿宋_GB2312"/>
          <w:bCs/>
          <w:sz w:val="28"/>
          <w:szCs w:val="28"/>
          <w:lang w:val="en-US"/>
        </w:rPr>
        <w:t>i</w:t>
      </w:r>
      <w:proofErr w:type="spellEnd"/>
      <w:r w:rsidR="00BA37A1">
        <w:rPr>
          <w:rFonts w:eastAsia="仿宋_GB2312"/>
          <w:bCs/>
          <w:sz w:val="28"/>
          <w:szCs w:val="28"/>
          <w:lang w:val="en-US"/>
        </w:rPr>
        <w:t>) focus on earlier stage (growth stage) investment opportunities,</w:t>
      </w:r>
      <w:r w:rsidR="00BA37A1" w:rsidRPr="009A2AEF">
        <w:rPr>
          <w:rFonts w:eastAsia="仿宋_GB2312"/>
          <w:bCs/>
          <w:sz w:val="28"/>
          <w:szCs w:val="28"/>
          <w:lang w:val="en-US"/>
        </w:rPr>
        <w:t xml:space="preserve"> </w:t>
      </w:r>
      <w:r w:rsidR="00F46B13" w:rsidRPr="009A2AEF">
        <w:rPr>
          <w:rFonts w:eastAsia="仿宋_GB2312"/>
          <w:bCs/>
          <w:sz w:val="28"/>
          <w:szCs w:val="28"/>
          <w:lang w:val="en-US"/>
        </w:rPr>
        <w:t xml:space="preserve">in </w:t>
      </w:r>
      <w:r w:rsidR="00BA37A1">
        <w:rPr>
          <w:rFonts w:eastAsia="仿宋_GB2312"/>
          <w:bCs/>
          <w:sz w:val="28"/>
          <w:szCs w:val="28"/>
          <w:lang w:val="en-US"/>
        </w:rPr>
        <w:t>new and emerging technologies forming part of the New Economy, (ii)</w:t>
      </w:r>
      <w:r w:rsidR="001C3272" w:rsidRPr="009A2AEF">
        <w:rPr>
          <w:rFonts w:eastAsia="仿宋_GB2312"/>
          <w:bCs/>
          <w:sz w:val="28"/>
          <w:szCs w:val="28"/>
          <w:lang w:val="en-US"/>
        </w:rPr>
        <w:t xml:space="preserve"> explore</w:t>
      </w:r>
      <w:r w:rsidR="00787CD6">
        <w:rPr>
          <w:rFonts w:eastAsia="仿宋_GB2312"/>
          <w:bCs/>
          <w:sz w:val="28"/>
          <w:szCs w:val="28"/>
          <w:lang w:val="en-US"/>
        </w:rPr>
        <w:t xml:space="preserve"> investment</w:t>
      </w:r>
      <w:r w:rsidR="001B080C">
        <w:rPr>
          <w:rFonts w:eastAsia="仿宋_GB2312"/>
          <w:bCs/>
          <w:sz w:val="28"/>
          <w:szCs w:val="28"/>
          <w:lang w:val="en-US"/>
        </w:rPr>
        <w:t>/acquisition</w:t>
      </w:r>
      <w:r w:rsidR="00787CD6">
        <w:rPr>
          <w:rFonts w:eastAsia="仿宋_GB2312"/>
          <w:bCs/>
          <w:sz w:val="28"/>
          <w:szCs w:val="28"/>
          <w:lang w:val="en-US"/>
        </w:rPr>
        <w:t xml:space="preserve"> opportunities </w:t>
      </w:r>
      <w:r w:rsidR="001B080C">
        <w:rPr>
          <w:rFonts w:eastAsia="仿宋_GB2312"/>
          <w:bCs/>
          <w:sz w:val="28"/>
          <w:szCs w:val="28"/>
          <w:lang w:val="en-US"/>
        </w:rPr>
        <w:t>of</w:t>
      </w:r>
      <w:r w:rsidR="00787CD6">
        <w:rPr>
          <w:rFonts w:eastAsia="仿宋_GB2312"/>
          <w:bCs/>
          <w:sz w:val="28"/>
          <w:szCs w:val="28"/>
          <w:lang w:val="en-US"/>
        </w:rPr>
        <w:t xml:space="preserve"> Chinese </w:t>
      </w:r>
      <w:r w:rsidR="001C3272" w:rsidRPr="009A2AEF">
        <w:rPr>
          <w:rFonts w:eastAsia="仿宋_GB2312"/>
          <w:bCs/>
          <w:sz w:val="28"/>
          <w:szCs w:val="28"/>
          <w:lang w:val="en-US"/>
        </w:rPr>
        <w:t xml:space="preserve">companies </w:t>
      </w:r>
      <w:r w:rsidR="00787CD6">
        <w:rPr>
          <w:rFonts w:eastAsia="仿宋_GB2312"/>
          <w:bCs/>
          <w:sz w:val="28"/>
          <w:szCs w:val="28"/>
          <w:lang w:val="en-US"/>
        </w:rPr>
        <w:t xml:space="preserve">with growth potential but which are currently undervalued or suffering cashflow </w:t>
      </w:r>
      <w:r w:rsidR="001B080C">
        <w:rPr>
          <w:rFonts w:eastAsia="仿宋_GB2312"/>
          <w:bCs/>
          <w:sz w:val="28"/>
          <w:szCs w:val="28"/>
          <w:lang w:val="en-US"/>
        </w:rPr>
        <w:t xml:space="preserve">liquidity.  </w:t>
      </w:r>
    </w:p>
    <w:p w14:paraId="0F0997C1" w14:textId="77777777" w:rsidR="00D30C86" w:rsidRDefault="00D30C86">
      <w:pPr>
        <w:rPr>
          <w:rFonts w:eastAsia="仿宋_GB2312"/>
          <w:b/>
          <w:bCs/>
          <w:sz w:val="28"/>
          <w:szCs w:val="28"/>
        </w:rPr>
      </w:pPr>
      <w:r>
        <w:rPr>
          <w:rFonts w:eastAsia="仿宋_GB2312"/>
          <w:b/>
          <w:bCs/>
          <w:sz w:val="28"/>
          <w:szCs w:val="28"/>
        </w:rPr>
        <w:br w:type="page"/>
      </w:r>
    </w:p>
    <w:p w14:paraId="45F1EECA" w14:textId="72CF1FF3" w:rsidR="00C569F6" w:rsidRPr="0022378F" w:rsidRDefault="00C569F6" w:rsidP="00C569F6">
      <w:pPr>
        <w:jc w:val="center"/>
        <w:rPr>
          <w:rFonts w:eastAsia="仿宋_GB2312"/>
          <w:b/>
          <w:bCs/>
          <w:sz w:val="28"/>
          <w:szCs w:val="28"/>
        </w:rPr>
      </w:pPr>
      <w:r w:rsidRPr="0022378F">
        <w:rPr>
          <w:rFonts w:eastAsia="仿宋_GB2312"/>
          <w:b/>
          <w:bCs/>
          <w:sz w:val="28"/>
          <w:szCs w:val="28"/>
        </w:rPr>
        <w:lastRenderedPageBreak/>
        <w:t>Business</w:t>
      </w:r>
      <w:r w:rsidRPr="0022378F">
        <w:rPr>
          <w:rFonts w:eastAsia="仿宋_GB2312" w:hint="eastAsia"/>
          <w:b/>
          <w:bCs/>
          <w:sz w:val="28"/>
          <w:szCs w:val="28"/>
        </w:rPr>
        <w:t xml:space="preserve"> Plan </w:t>
      </w:r>
      <w:r w:rsidRPr="0022378F">
        <w:rPr>
          <w:rFonts w:eastAsia="仿宋_GB2312"/>
          <w:b/>
          <w:bCs/>
          <w:sz w:val="28"/>
          <w:szCs w:val="28"/>
        </w:rPr>
        <w:t>for</w:t>
      </w:r>
      <w:r w:rsidRPr="0022378F">
        <w:rPr>
          <w:rFonts w:eastAsia="仿宋_GB2312" w:hint="eastAsia"/>
          <w:b/>
          <w:bCs/>
          <w:sz w:val="28"/>
          <w:szCs w:val="28"/>
        </w:rPr>
        <w:t xml:space="preserve"> 201</w:t>
      </w:r>
      <w:r>
        <w:rPr>
          <w:rFonts w:eastAsia="仿宋_GB2312"/>
          <w:b/>
          <w:bCs/>
          <w:sz w:val="28"/>
          <w:szCs w:val="28"/>
        </w:rPr>
        <w:t>9</w:t>
      </w:r>
    </w:p>
    <w:p w14:paraId="6D628290" w14:textId="5B7D233C" w:rsidR="00C569F6" w:rsidRPr="009A2AEF" w:rsidRDefault="00C569F6" w:rsidP="009A2AEF">
      <w:pPr>
        <w:spacing w:line="360" w:lineRule="auto"/>
        <w:jc w:val="both"/>
        <w:rPr>
          <w:rFonts w:eastAsia="仿宋_GB2312"/>
          <w:bCs/>
          <w:sz w:val="28"/>
          <w:szCs w:val="28"/>
          <w:lang w:val="en-US"/>
        </w:rPr>
      </w:pPr>
      <w:r w:rsidRPr="009A2AEF">
        <w:rPr>
          <w:rFonts w:eastAsia="仿宋_GB2312"/>
          <w:bCs/>
          <w:sz w:val="28"/>
          <w:szCs w:val="28"/>
          <w:lang w:val="en-US"/>
        </w:rPr>
        <w:t xml:space="preserve">2019 market </w:t>
      </w:r>
      <w:r w:rsidR="007237F6">
        <w:rPr>
          <w:rFonts w:eastAsia="仿宋_GB2312"/>
          <w:bCs/>
          <w:sz w:val="28"/>
          <w:szCs w:val="28"/>
          <w:lang w:val="en-US"/>
        </w:rPr>
        <w:t>forecast</w:t>
      </w:r>
      <w:r w:rsidR="007237F6" w:rsidRPr="009A2AEF">
        <w:rPr>
          <w:rFonts w:eastAsia="仿宋_GB2312"/>
          <w:bCs/>
          <w:sz w:val="28"/>
          <w:szCs w:val="28"/>
          <w:lang w:val="en-US"/>
        </w:rPr>
        <w:t xml:space="preserve"> </w:t>
      </w:r>
      <w:r w:rsidR="00500DE5">
        <w:rPr>
          <w:rFonts w:eastAsia="仿宋_GB2312"/>
          <w:bCs/>
          <w:sz w:val="28"/>
          <w:szCs w:val="28"/>
          <w:lang w:val="en-US"/>
        </w:rPr>
        <w:t>remain</w:t>
      </w:r>
      <w:r w:rsidR="007237F6">
        <w:rPr>
          <w:rFonts w:eastAsia="仿宋_GB2312"/>
          <w:bCs/>
          <w:sz w:val="28"/>
          <w:szCs w:val="28"/>
          <w:lang w:val="en-US"/>
        </w:rPr>
        <w:t>s</w:t>
      </w:r>
      <w:r w:rsidR="00500DE5">
        <w:rPr>
          <w:rFonts w:eastAsia="仿宋_GB2312"/>
          <w:bCs/>
          <w:sz w:val="28"/>
          <w:szCs w:val="28"/>
          <w:lang w:val="en-US"/>
        </w:rPr>
        <w:t xml:space="preserve"> bleak</w:t>
      </w:r>
      <w:r w:rsidRPr="009A2AEF">
        <w:rPr>
          <w:rFonts w:eastAsia="仿宋_GB2312"/>
          <w:bCs/>
          <w:sz w:val="28"/>
          <w:szCs w:val="28"/>
          <w:lang w:val="en-US"/>
        </w:rPr>
        <w:t xml:space="preserve">. </w:t>
      </w:r>
      <w:r w:rsidR="00400EBE">
        <w:rPr>
          <w:rFonts w:eastAsia="仿宋_GB2312"/>
          <w:bCs/>
          <w:sz w:val="28"/>
          <w:szCs w:val="28"/>
          <w:lang w:val="en-US"/>
        </w:rPr>
        <w:t>On the fundraising front, i</w:t>
      </w:r>
      <w:r w:rsidR="00400EBE" w:rsidRPr="009A2AEF">
        <w:rPr>
          <w:rFonts w:eastAsia="仿宋_GB2312"/>
          <w:bCs/>
          <w:sz w:val="28"/>
          <w:szCs w:val="28"/>
          <w:lang w:val="en-US"/>
        </w:rPr>
        <w:t xml:space="preserve">t </w:t>
      </w:r>
      <w:r w:rsidRPr="009A2AEF">
        <w:rPr>
          <w:rFonts w:eastAsia="仿宋_GB2312"/>
          <w:bCs/>
          <w:sz w:val="28"/>
          <w:szCs w:val="28"/>
          <w:lang w:val="en-US"/>
        </w:rPr>
        <w:t>is difficult for PE institutions to raise funds</w:t>
      </w:r>
      <w:r w:rsidR="00400EBE">
        <w:rPr>
          <w:rFonts w:eastAsia="仿宋_GB2312"/>
          <w:bCs/>
          <w:sz w:val="28"/>
          <w:szCs w:val="28"/>
          <w:lang w:val="en-US"/>
        </w:rPr>
        <w:t xml:space="preserve"> with deleveraging policies, 2018 Asset Management Regulations and the general shortage of money in the market</w:t>
      </w:r>
      <w:r w:rsidRPr="009A2AEF">
        <w:rPr>
          <w:rFonts w:eastAsia="仿宋_GB2312"/>
          <w:bCs/>
          <w:sz w:val="28"/>
          <w:szCs w:val="28"/>
          <w:lang w:val="en-US"/>
        </w:rPr>
        <w:t xml:space="preserve">. </w:t>
      </w:r>
      <w:r w:rsidR="00400EBE">
        <w:rPr>
          <w:rFonts w:eastAsia="仿宋_GB2312"/>
          <w:bCs/>
          <w:sz w:val="28"/>
          <w:szCs w:val="28"/>
          <w:lang w:val="en-US"/>
        </w:rPr>
        <w:t>T</w:t>
      </w:r>
      <w:r w:rsidRPr="009A2AEF">
        <w:rPr>
          <w:rFonts w:eastAsia="仿宋_GB2312"/>
          <w:bCs/>
          <w:sz w:val="28"/>
          <w:szCs w:val="28"/>
          <w:lang w:val="en-US"/>
        </w:rPr>
        <w:t xml:space="preserve">he </w:t>
      </w:r>
      <w:r w:rsidR="00400EBE">
        <w:rPr>
          <w:rFonts w:eastAsia="仿宋_GB2312"/>
          <w:bCs/>
          <w:sz w:val="28"/>
          <w:szCs w:val="28"/>
          <w:lang w:val="en-US"/>
        </w:rPr>
        <w:t xml:space="preserve">private equity </w:t>
      </w:r>
      <w:r w:rsidRPr="009A2AEF">
        <w:rPr>
          <w:rFonts w:eastAsia="仿宋_GB2312"/>
          <w:bCs/>
          <w:sz w:val="28"/>
          <w:szCs w:val="28"/>
          <w:lang w:val="en-US"/>
        </w:rPr>
        <w:t xml:space="preserve">industry is highly polarized: </w:t>
      </w:r>
      <w:r w:rsidR="00500DE5">
        <w:rPr>
          <w:rFonts w:eastAsia="仿宋_GB2312"/>
          <w:bCs/>
          <w:sz w:val="28"/>
          <w:szCs w:val="28"/>
          <w:lang w:val="en-US"/>
        </w:rPr>
        <w:t>money</w:t>
      </w:r>
      <w:r w:rsidR="00500DE5" w:rsidRPr="009A2AEF">
        <w:rPr>
          <w:rFonts w:eastAsia="仿宋_GB2312"/>
          <w:bCs/>
          <w:sz w:val="28"/>
          <w:szCs w:val="28"/>
          <w:lang w:val="en-US"/>
        </w:rPr>
        <w:t xml:space="preserve"> </w:t>
      </w:r>
      <w:r w:rsidR="00500DE5">
        <w:rPr>
          <w:rFonts w:eastAsia="仿宋_GB2312"/>
          <w:bCs/>
          <w:sz w:val="28"/>
          <w:szCs w:val="28"/>
          <w:lang w:val="en-US"/>
        </w:rPr>
        <w:t>is</w:t>
      </w:r>
      <w:r w:rsidR="00500DE5" w:rsidRPr="009A2AEF">
        <w:rPr>
          <w:rFonts w:eastAsia="仿宋_GB2312"/>
          <w:bCs/>
          <w:sz w:val="28"/>
          <w:szCs w:val="28"/>
          <w:lang w:val="en-US"/>
        </w:rPr>
        <w:t xml:space="preserve"> </w:t>
      </w:r>
      <w:r w:rsidRPr="009A2AEF">
        <w:rPr>
          <w:rFonts w:eastAsia="仿宋_GB2312"/>
          <w:bCs/>
          <w:sz w:val="28"/>
          <w:szCs w:val="28"/>
          <w:lang w:val="en-US"/>
        </w:rPr>
        <w:t xml:space="preserve">concentrated </w:t>
      </w:r>
      <w:r w:rsidR="00500DE5">
        <w:rPr>
          <w:rFonts w:eastAsia="仿宋_GB2312"/>
          <w:bCs/>
          <w:sz w:val="28"/>
          <w:szCs w:val="28"/>
          <w:lang w:val="en-US"/>
        </w:rPr>
        <w:t>with</w:t>
      </w:r>
      <w:r w:rsidRPr="009A2AEF">
        <w:rPr>
          <w:rFonts w:eastAsia="仿宋_GB2312"/>
          <w:bCs/>
          <w:sz w:val="28"/>
          <w:szCs w:val="28"/>
          <w:lang w:val="en-US"/>
        </w:rPr>
        <w:t>in the largest institution</w:t>
      </w:r>
      <w:r w:rsidR="00A6377A" w:rsidRPr="009A2AEF">
        <w:rPr>
          <w:rFonts w:eastAsia="仿宋_GB2312"/>
          <w:bCs/>
          <w:sz w:val="28"/>
          <w:szCs w:val="28"/>
          <w:lang w:val="en-US"/>
        </w:rPr>
        <w:t>s</w:t>
      </w:r>
      <w:r w:rsidR="00400EBE">
        <w:rPr>
          <w:rFonts w:eastAsia="仿宋_GB2312"/>
          <w:bCs/>
          <w:sz w:val="28"/>
          <w:szCs w:val="28"/>
          <w:lang w:val="en-US"/>
        </w:rPr>
        <w:t xml:space="preserve"> (most of which are government-affiliated)</w:t>
      </w:r>
      <w:r w:rsidR="00A6377A" w:rsidRPr="009A2AEF">
        <w:rPr>
          <w:rFonts w:eastAsia="仿宋_GB2312"/>
          <w:bCs/>
          <w:sz w:val="28"/>
          <w:szCs w:val="28"/>
          <w:lang w:val="en-US"/>
        </w:rPr>
        <w:t xml:space="preserve">, </w:t>
      </w:r>
      <w:r w:rsidR="000B6C4E">
        <w:rPr>
          <w:rFonts w:eastAsia="仿宋_GB2312"/>
          <w:bCs/>
          <w:sz w:val="28"/>
          <w:szCs w:val="28"/>
          <w:lang w:val="en-US"/>
        </w:rPr>
        <w:t>these large institutions tend to have a more generalist investment approach looking at diverse sectors and geographies, whereas</w:t>
      </w:r>
      <w:r w:rsidR="00A6377A" w:rsidRPr="009A2AEF">
        <w:rPr>
          <w:rFonts w:eastAsia="仿宋_GB2312"/>
          <w:bCs/>
          <w:sz w:val="28"/>
          <w:szCs w:val="28"/>
          <w:lang w:val="en-US"/>
        </w:rPr>
        <w:t xml:space="preserve"> small and medium-sized private equity</w:t>
      </w:r>
      <w:r w:rsidRPr="009A2AEF">
        <w:rPr>
          <w:rFonts w:eastAsia="仿宋_GB2312"/>
          <w:bCs/>
          <w:sz w:val="28"/>
          <w:szCs w:val="28"/>
          <w:lang w:val="en-US"/>
        </w:rPr>
        <w:t xml:space="preserve"> institutions </w:t>
      </w:r>
      <w:r w:rsidR="000B6C4E">
        <w:rPr>
          <w:rFonts w:eastAsia="仿宋_GB2312"/>
          <w:bCs/>
          <w:sz w:val="28"/>
          <w:szCs w:val="28"/>
          <w:lang w:val="en-US"/>
        </w:rPr>
        <w:t>have limited access to market funds and lean towards more specialized investment focuses</w:t>
      </w:r>
      <w:r w:rsidRPr="009A2AEF">
        <w:rPr>
          <w:rFonts w:eastAsia="仿宋_GB2312"/>
          <w:bCs/>
          <w:sz w:val="28"/>
          <w:szCs w:val="28"/>
          <w:lang w:val="en-US"/>
        </w:rPr>
        <w:t xml:space="preserve">. </w:t>
      </w:r>
      <w:r w:rsidR="00400EBE">
        <w:rPr>
          <w:rFonts w:eastAsia="仿宋_GB2312"/>
          <w:bCs/>
          <w:sz w:val="28"/>
          <w:szCs w:val="28"/>
          <w:lang w:val="en-US"/>
        </w:rPr>
        <w:t xml:space="preserve"> On </w:t>
      </w:r>
      <w:r w:rsidRPr="009A2AEF">
        <w:rPr>
          <w:rFonts w:eastAsia="仿宋_GB2312"/>
          <w:bCs/>
          <w:sz w:val="28"/>
          <w:szCs w:val="28"/>
          <w:lang w:val="en-US"/>
        </w:rPr>
        <w:t xml:space="preserve">the </w:t>
      </w:r>
      <w:r w:rsidR="00DE197B">
        <w:rPr>
          <w:rFonts w:eastAsia="仿宋_GB2312"/>
          <w:bCs/>
          <w:sz w:val="28"/>
          <w:szCs w:val="28"/>
          <w:lang w:val="en-US"/>
        </w:rPr>
        <w:t xml:space="preserve">asset </w:t>
      </w:r>
      <w:r w:rsidR="00400EBE">
        <w:rPr>
          <w:rFonts w:eastAsia="仿宋_GB2312"/>
          <w:bCs/>
          <w:sz w:val="28"/>
          <w:szCs w:val="28"/>
          <w:lang w:val="en-US"/>
        </w:rPr>
        <w:t>front</w:t>
      </w:r>
      <w:r w:rsidRPr="009A2AEF">
        <w:rPr>
          <w:rFonts w:eastAsia="仿宋_GB2312"/>
          <w:bCs/>
          <w:sz w:val="28"/>
          <w:szCs w:val="28"/>
          <w:lang w:val="en-US"/>
        </w:rPr>
        <w:t xml:space="preserve">, good </w:t>
      </w:r>
      <w:r w:rsidR="00DE197B">
        <w:rPr>
          <w:rFonts w:eastAsia="仿宋_GB2312"/>
          <w:bCs/>
          <w:sz w:val="28"/>
          <w:szCs w:val="28"/>
          <w:lang w:val="en-US"/>
        </w:rPr>
        <w:t xml:space="preserve">and reasonably priced </w:t>
      </w:r>
      <w:r w:rsidRPr="009A2AEF">
        <w:rPr>
          <w:rFonts w:eastAsia="仿宋_GB2312"/>
          <w:bCs/>
          <w:sz w:val="28"/>
          <w:szCs w:val="28"/>
          <w:lang w:val="en-US"/>
        </w:rPr>
        <w:t xml:space="preserve">assets are scarce, and there is still </w:t>
      </w:r>
      <w:r w:rsidR="00006FD3">
        <w:rPr>
          <w:rFonts w:eastAsia="仿宋_GB2312"/>
          <w:bCs/>
          <w:sz w:val="28"/>
          <w:szCs w:val="28"/>
          <w:lang w:val="en-US"/>
        </w:rPr>
        <w:t xml:space="preserve">the issue of inflated </w:t>
      </w:r>
      <w:r w:rsidRPr="009A2AEF">
        <w:rPr>
          <w:rFonts w:eastAsia="仿宋_GB2312"/>
          <w:bCs/>
          <w:sz w:val="28"/>
          <w:szCs w:val="28"/>
          <w:lang w:val="en-US"/>
        </w:rPr>
        <w:t xml:space="preserve">valuation of </w:t>
      </w:r>
      <w:r w:rsidR="00006FD3">
        <w:rPr>
          <w:rFonts w:eastAsia="仿宋_GB2312"/>
          <w:bCs/>
          <w:sz w:val="28"/>
          <w:szCs w:val="28"/>
          <w:lang w:val="en-US"/>
        </w:rPr>
        <w:t xml:space="preserve">many </w:t>
      </w:r>
      <w:r w:rsidRPr="009A2AEF">
        <w:rPr>
          <w:rFonts w:eastAsia="仿宋_GB2312"/>
          <w:bCs/>
          <w:sz w:val="28"/>
          <w:szCs w:val="28"/>
          <w:lang w:val="en-US"/>
        </w:rPr>
        <w:t>unicorn companies</w:t>
      </w:r>
      <w:r w:rsidR="00006FD3">
        <w:rPr>
          <w:rFonts w:eastAsia="仿宋_GB2312"/>
          <w:bCs/>
          <w:sz w:val="28"/>
          <w:szCs w:val="28"/>
          <w:lang w:val="en-US"/>
        </w:rPr>
        <w:t>, particularly those</w:t>
      </w:r>
      <w:r w:rsidRPr="009A2AEF">
        <w:rPr>
          <w:rFonts w:eastAsia="仿宋_GB2312"/>
          <w:bCs/>
          <w:sz w:val="28"/>
          <w:szCs w:val="28"/>
          <w:lang w:val="en-US"/>
        </w:rPr>
        <w:t xml:space="preserve"> in the field of </w:t>
      </w:r>
      <w:r w:rsidR="00006FD3">
        <w:rPr>
          <w:rFonts w:eastAsia="仿宋_GB2312"/>
          <w:bCs/>
          <w:sz w:val="28"/>
          <w:szCs w:val="28"/>
          <w:lang w:val="en-US"/>
        </w:rPr>
        <w:t>n</w:t>
      </w:r>
      <w:r w:rsidRPr="009A2AEF">
        <w:rPr>
          <w:rFonts w:eastAsia="仿宋_GB2312"/>
          <w:bCs/>
          <w:sz w:val="28"/>
          <w:szCs w:val="28"/>
          <w:lang w:val="en-US"/>
        </w:rPr>
        <w:t xml:space="preserve">ew </w:t>
      </w:r>
      <w:r w:rsidR="00006FD3">
        <w:rPr>
          <w:rFonts w:eastAsia="仿宋_GB2312"/>
          <w:bCs/>
          <w:sz w:val="28"/>
          <w:szCs w:val="28"/>
          <w:lang w:val="en-US"/>
        </w:rPr>
        <w:t>e</w:t>
      </w:r>
      <w:r w:rsidR="00006FD3" w:rsidRPr="009A2AEF">
        <w:rPr>
          <w:rFonts w:eastAsia="仿宋_GB2312"/>
          <w:bCs/>
          <w:sz w:val="28"/>
          <w:szCs w:val="28"/>
          <w:lang w:val="en-US"/>
        </w:rPr>
        <w:t>conomy</w:t>
      </w:r>
      <w:r w:rsidRPr="009A2AEF">
        <w:rPr>
          <w:rFonts w:eastAsia="仿宋_GB2312"/>
          <w:bCs/>
          <w:sz w:val="28"/>
          <w:szCs w:val="28"/>
          <w:lang w:val="en-US"/>
        </w:rPr>
        <w:t xml:space="preserve">. </w:t>
      </w:r>
      <w:r w:rsidR="00006FD3">
        <w:rPr>
          <w:rFonts w:eastAsia="仿宋_GB2312"/>
          <w:bCs/>
          <w:sz w:val="28"/>
          <w:szCs w:val="28"/>
          <w:lang w:val="en-US"/>
        </w:rPr>
        <w:t>However, t</w:t>
      </w:r>
      <w:r w:rsidR="00117B18">
        <w:rPr>
          <w:rFonts w:eastAsia="仿宋_GB2312"/>
          <w:bCs/>
          <w:sz w:val="28"/>
          <w:szCs w:val="28"/>
          <w:lang w:val="en-US"/>
        </w:rPr>
        <w:t>he basic premise of the new economy will continue to play out as we transition from an industrial, manufacturing-based economy into one characterized by</w:t>
      </w:r>
      <w:r w:rsidR="00400EBE">
        <w:rPr>
          <w:rFonts w:eastAsia="仿宋_GB2312"/>
          <w:bCs/>
          <w:sz w:val="28"/>
          <w:szCs w:val="28"/>
          <w:lang w:val="en-US"/>
        </w:rPr>
        <w:t xml:space="preserve"> consumption,</w:t>
      </w:r>
      <w:r w:rsidR="00117B18">
        <w:rPr>
          <w:rFonts w:eastAsia="仿宋_GB2312"/>
          <w:bCs/>
          <w:sz w:val="28"/>
          <w:szCs w:val="28"/>
          <w:lang w:val="en-US"/>
        </w:rPr>
        <w:t xml:space="preserve"> services, technology and data-focused commerce.  </w:t>
      </w:r>
      <w:r w:rsidR="00400EBE">
        <w:rPr>
          <w:rFonts w:eastAsia="仿宋_GB2312"/>
          <w:bCs/>
          <w:sz w:val="28"/>
          <w:szCs w:val="28"/>
          <w:lang w:val="en-US"/>
        </w:rPr>
        <w:t xml:space="preserve">This new economy emergence will open up new markets and new opportunities within industries that did not exist previously.  </w:t>
      </w:r>
    </w:p>
    <w:p w14:paraId="7737BD94" w14:textId="286AE47A" w:rsidR="00C569F6" w:rsidRPr="009A2AEF" w:rsidRDefault="00C569F6" w:rsidP="009A2AEF">
      <w:pPr>
        <w:spacing w:line="360" w:lineRule="auto"/>
        <w:jc w:val="both"/>
        <w:rPr>
          <w:rFonts w:eastAsia="仿宋_GB2312"/>
          <w:bCs/>
          <w:sz w:val="28"/>
          <w:szCs w:val="28"/>
          <w:lang w:val="en-US"/>
        </w:rPr>
      </w:pPr>
      <w:r w:rsidRPr="009A2AEF">
        <w:rPr>
          <w:rFonts w:eastAsia="仿宋_GB2312"/>
          <w:bCs/>
          <w:sz w:val="28"/>
          <w:szCs w:val="28"/>
          <w:lang w:val="en-US"/>
        </w:rPr>
        <w:t>BHR</w:t>
      </w:r>
      <w:r w:rsidR="00606AF4">
        <w:rPr>
          <w:rFonts w:eastAsia="仿宋_GB2312"/>
          <w:bCs/>
          <w:sz w:val="28"/>
          <w:szCs w:val="28"/>
          <w:lang w:val="en-US"/>
        </w:rPr>
        <w:t xml:space="preserve"> has a professional</w:t>
      </w:r>
      <w:r w:rsidRPr="009A2AEF">
        <w:rPr>
          <w:rFonts w:eastAsia="仿宋_GB2312"/>
          <w:bCs/>
          <w:sz w:val="28"/>
          <w:szCs w:val="28"/>
          <w:lang w:val="en-US"/>
        </w:rPr>
        <w:t xml:space="preserve"> team </w:t>
      </w:r>
      <w:r w:rsidR="00606AF4">
        <w:rPr>
          <w:rFonts w:eastAsia="仿宋_GB2312"/>
          <w:bCs/>
          <w:sz w:val="28"/>
          <w:szCs w:val="28"/>
          <w:lang w:val="en-US"/>
        </w:rPr>
        <w:t>with well-regarded</w:t>
      </w:r>
      <w:r w:rsidRPr="009A2AEF">
        <w:rPr>
          <w:rFonts w:eastAsia="仿宋_GB2312"/>
          <w:bCs/>
          <w:sz w:val="28"/>
          <w:szCs w:val="28"/>
          <w:lang w:val="en-US"/>
        </w:rPr>
        <w:t xml:space="preserve"> execution capabilit</w:t>
      </w:r>
      <w:r w:rsidR="00606AF4">
        <w:rPr>
          <w:rFonts w:eastAsia="仿宋_GB2312"/>
          <w:bCs/>
          <w:sz w:val="28"/>
          <w:szCs w:val="28"/>
          <w:lang w:val="en-US"/>
        </w:rPr>
        <w:t xml:space="preserve">ies </w:t>
      </w:r>
      <w:proofErr w:type="gramStart"/>
      <w:r w:rsidR="00606AF4">
        <w:rPr>
          <w:rFonts w:eastAsia="仿宋_GB2312"/>
          <w:bCs/>
          <w:sz w:val="28"/>
          <w:szCs w:val="28"/>
          <w:lang w:val="en-US"/>
        </w:rPr>
        <w:t xml:space="preserve">but </w:t>
      </w:r>
      <w:r w:rsidRPr="009A2AEF">
        <w:rPr>
          <w:rFonts w:eastAsia="仿宋_GB2312"/>
          <w:bCs/>
          <w:sz w:val="28"/>
          <w:szCs w:val="28"/>
          <w:lang w:val="en-US"/>
        </w:rPr>
        <w:t>.</w:t>
      </w:r>
      <w:proofErr w:type="gramEnd"/>
      <w:r w:rsidRPr="009A2AEF">
        <w:rPr>
          <w:rFonts w:eastAsia="仿宋_GB2312"/>
          <w:bCs/>
          <w:sz w:val="28"/>
          <w:szCs w:val="28"/>
          <w:lang w:val="en-US"/>
        </w:rPr>
        <w:t xml:space="preserve"> </w:t>
      </w:r>
      <w:r w:rsidR="00606AF4">
        <w:rPr>
          <w:rFonts w:eastAsia="仿宋_GB2312"/>
          <w:bCs/>
          <w:sz w:val="28"/>
          <w:szCs w:val="28"/>
          <w:lang w:val="en-US"/>
        </w:rPr>
        <w:t>o</w:t>
      </w:r>
      <w:r w:rsidR="00B64524">
        <w:rPr>
          <w:rFonts w:eastAsia="仿宋_GB2312"/>
          <w:bCs/>
          <w:sz w:val="28"/>
          <w:szCs w:val="28"/>
          <w:lang w:val="en-US"/>
        </w:rPr>
        <w:t xml:space="preserve">ur Achilles heel </w:t>
      </w:r>
      <w:r w:rsidR="00606AF4">
        <w:rPr>
          <w:rFonts w:eastAsia="仿宋_GB2312"/>
          <w:bCs/>
          <w:sz w:val="28"/>
          <w:szCs w:val="28"/>
          <w:lang w:val="en-US"/>
        </w:rPr>
        <w:t>remains the lack of discretionary funds with which to execute deals.  We need to improve our</w:t>
      </w:r>
      <w:r w:rsidR="00B64524">
        <w:rPr>
          <w:rFonts w:eastAsia="仿宋_GB2312"/>
          <w:bCs/>
          <w:sz w:val="28"/>
          <w:szCs w:val="28"/>
          <w:lang w:val="en-US"/>
        </w:rPr>
        <w:t xml:space="preserve"> </w:t>
      </w:r>
      <w:r w:rsidRPr="009A2AEF">
        <w:rPr>
          <w:rFonts w:eastAsia="仿宋_GB2312"/>
          <w:bCs/>
          <w:sz w:val="28"/>
          <w:szCs w:val="28"/>
          <w:lang w:val="en-US"/>
        </w:rPr>
        <w:t xml:space="preserve">ability to raise funds from private institutions and high-net-worth individuals. </w:t>
      </w:r>
      <w:r w:rsidR="00B64524">
        <w:rPr>
          <w:rFonts w:eastAsia="仿宋_GB2312"/>
          <w:bCs/>
          <w:sz w:val="28"/>
          <w:szCs w:val="28"/>
          <w:lang w:val="en-US"/>
        </w:rPr>
        <w:t xml:space="preserve"> T</w:t>
      </w:r>
      <w:r w:rsidR="00B64524" w:rsidRPr="009A2AEF">
        <w:rPr>
          <w:rFonts w:eastAsia="仿宋_GB2312"/>
          <w:bCs/>
          <w:sz w:val="28"/>
          <w:szCs w:val="28"/>
          <w:lang w:val="en-US"/>
        </w:rPr>
        <w:t>he Company</w:t>
      </w:r>
      <w:r w:rsidR="00B64524">
        <w:rPr>
          <w:rFonts w:eastAsia="仿宋_GB2312"/>
          <w:bCs/>
          <w:sz w:val="28"/>
          <w:szCs w:val="28"/>
          <w:lang w:val="en-US"/>
        </w:rPr>
        <w:t xml:space="preserve"> also lacks </w:t>
      </w:r>
      <w:r w:rsidR="00B64524">
        <w:rPr>
          <w:rFonts w:eastAsia="仿宋_GB2312"/>
          <w:bCs/>
          <w:sz w:val="28"/>
          <w:szCs w:val="28"/>
          <w:lang w:val="en-US"/>
        </w:rPr>
        <w:lastRenderedPageBreak/>
        <w:t>specialized</w:t>
      </w:r>
      <w:r w:rsidR="00B64524" w:rsidRPr="009A2AEF">
        <w:rPr>
          <w:rFonts w:eastAsia="仿宋_GB2312"/>
          <w:bCs/>
          <w:sz w:val="28"/>
          <w:szCs w:val="28"/>
          <w:lang w:val="en-US"/>
        </w:rPr>
        <w:t xml:space="preserve"> </w:t>
      </w:r>
      <w:r w:rsidRPr="009A2AEF">
        <w:rPr>
          <w:rFonts w:eastAsia="仿宋_GB2312"/>
          <w:bCs/>
          <w:sz w:val="28"/>
          <w:szCs w:val="28"/>
          <w:lang w:val="en-US"/>
        </w:rPr>
        <w:t xml:space="preserve">industry </w:t>
      </w:r>
      <w:r w:rsidR="00B64524">
        <w:rPr>
          <w:rFonts w:eastAsia="仿宋_GB2312"/>
          <w:bCs/>
          <w:sz w:val="28"/>
          <w:szCs w:val="28"/>
          <w:lang w:val="en-US"/>
        </w:rPr>
        <w:t>knowledge and industry-focused team members rendering us reliant on our strategic partners in assessing specific industries such as healthcare and natural resources.</w:t>
      </w:r>
    </w:p>
    <w:p w14:paraId="72728B2B" w14:textId="77777777" w:rsidR="00C569F6" w:rsidRDefault="00C569F6" w:rsidP="00C569F6">
      <w:pPr>
        <w:tabs>
          <w:tab w:val="left" w:pos="330"/>
        </w:tabs>
        <w:spacing w:before="220" w:after="220" w:line="360" w:lineRule="auto"/>
        <w:jc w:val="both"/>
        <w:rPr>
          <w:rFonts w:eastAsia="仿宋_GB2312"/>
          <w:b/>
          <w:bCs/>
          <w:sz w:val="28"/>
          <w:szCs w:val="28"/>
        </w:rPr>
      </w:pPr>
      <w:r>
        <w:rPr>
          <w:rFonts w:eastAsia="仿宋_GB2312"/>
          <w:b/>
          <w:bCs/>
          <w:sz w:val="28"/>
          <w:szCs w:val="28"/>
        </w:rPr>
        <w:t>I. PIPE I</w:t>
      </w:r>
      <w:r w:rsidRPr="00274FD5">
        <w:rPr>
          <w:rFonts w:eastAsia="仿宋_GB2312"/>
          <w:b/>
          <w:bCs/>
          <w:sz w:val="28"/>
          <w:szCs w:val="28"/>
        </w:rPr>
        <w:t>nvestment</w:t>
      </w:r>
      <w:r>
        <w:rPr>
          <w:rFonts w:eastAsia="仿宋_GB2312"/>
          <w:b/>
          <w:bCs/>
          <w:sz w:val="28"/>
          <w:szCs w:val="28"/>
        </w:rPr>
        <w:t>s in the Domestic Market</w:t>
      </w:r>
    </w:p>
    <w:p w14:paraId="2F51E01E" w14:textId="2B5F3718" w:rsidR="00C569F6" w:rsidRPr="009A2AEF" w:rsidRDefault="00C569F6" w:rsidP="009A2AEF">
      <w:pPr>
        <w:spacing w:line="360" w:lineRule="auto"/>
        <w:jc w:val="both"/>
        <w:rPr>
          <w:rFonts w:eastAsia="仿宋_GB2312"/>
          <w:bCs/>
          <w:sz w:val="28"/>
          <w:szCs w:val="28"/>
          <w:lang w:val="en-US"/>
        </w:rPr>
      </w:pPr>
      <w:r w:rsidRPr="009A2AEF">
        <w:rPr>
          <w:rFonts w:eastAsia="仿宋_GB2312"/>
          <w:bCs/>
          <w:sz w:val="28"/>
          <w:szCs w:val="28"/>
          <w:lang w:val="en-US"/>
        </w:rPr>
        <w:t xml:space="preserve">Due to the continued sluggish </w:t>
      </w:r>
      <w:r w:rsidR="0061013A">
        <w:rPr>
          <w:rFonts w:eastAsia="仿宋_GB2312"/>
          <w:bCs/>
          <w:sz w:val="28"/>
          <w:szCs w:val="28"/>
          <w:lang w:val="en-US"/>
        </w:rPr>
        <w:t xml:space="preserve">performance of the </w:t>
      </w:r>
      <w:r w:rsidRPr="009A2AEF">
        <w:rPr>
          <w:rFonts w:eastAsia="仿宋_GB2312"/>
          <w:bCs/>
          <w:sz w:val="28"/>
          <w:szCs w:val="28"/>
          <w:lang w:val="en-US"/>
        </w:rPr>
        <w:t>domestic stock market</w:t>
      </w:r>
      <w:r w:rsidR="0061013A">
        <w:rPr>
          <w:rFonts w:eastAsia="仿宋_GB2312"/>
          <w:bCs/>
          <w:sz w:val="28"/>
          <w:szCs w:val="28"/>
          <w:lang w:val="en-US"/>
        </w:rPr>
        <w:t xml:space="preserve"> and implementation of deleveraging policies</w:t>
      </w:r>
      <w:r w:rsidRPr="009A2AEF">
        <w:rPr>
          <w:rFonts w:eastAsia="仿宋_GB2312"/>
          <w:bCs/>
          <w:sz w:val="28"/>
          <w:szCs w:val="28"/>
          <w:lang w:val="en-US"/>
        </w:rPr>
        <w:t xml:space="preserve">, the risks of large shareholders of non-state-owned listed companies </w:t>
      </w:r>
      <w:r w:rsidR="0061013A">
        <w:rPr>
          <w:rFonts w:eastAsia="仿宋_GB2312"/>
          <w:bCs/>
          <w:sz w:val="28"/>
          <w:szCs w:val="28"/>
          <w:lang w:val="en-US"/>
        </w:rPr>
        <w:t xml:space="preserve">breaching their share pledges </w:t>
      </w:r>
      <w:r w:rsidRPr="009A2AEF">
        <w:rPr>
          <w:rFonts w:eastAsia="仿宋_GB2312"/>
          <w:bCs/>
          <w:sz w:val="28"/>
          <w:szCs w:val="28"/>
          <w:lang w:val="en-US"/>
        </w:rPr>
        <w:t>are rising</w:t>
      </w:r>
      <w:r w:rsidR="00156C9E">
        <w:rPr>
          <w:rFonts w:eastAsia="仿宋_GB2312"/>
          <w:bCs/>
          <w:sz w:val="28"/>
          <w:szCs w:val="28"/>
          <w:lang w:val="en-US"/>
        </w:rPr>
        <w:t xml:space="preserve"> (as a result of share pledge financings)</w:t>
      </w:r>
      <w:r w:rsidRPr="009A2AEF">
        <w:rPr>
          <w:rFonts w:eastAsia="仿宋_GB2312"/>
          <w:bCs/>
          <w:sz w:val="28"/>
          <w:szCs w:val="28"/>
          <w:lang w:val="en-US"/>
        </w:rPr>
        <w:t xml:space="preserve">. </w:t>
      </w:r>
      <w:r w:rsidR="00156C9E">
        <w:rPr>
          <w:rFonts w:eastAsia="仿宋_GB2312"/>
          <w:bCs/>
          <w:sz w:val="28"/>
          <w:szCs w:val="28"/>
          <w:lang w:val="en-US"/>
        </w:rPr>
        <w:t>We are exploring</w:t>
      </w:r>
      <w:r w:rsidRPr="009A2AEF">
        <w:rPr>
          <w:rFonts w:eastAsia="仿宋_GB2312"/>
          <w:bCs/>
          <w:sz w:val="28"/>
          <w:szCs w:val="28"/>
          <w:lang w:val="en-US"/>
        </w:rPr>
        <w:t xml:space="preserve"> opportunities </w:t>
      </w:r>
      <w:r w:rsidR="00156C9E">
        <w:rPr>
          <w:rFonts w:eastAsia="仿宋_GB2312"/>
          <w:bCs/>
          <w:sz w:val="28"/>
          <w:szCs w:val="28"/>
          <w:lang w:val="en-US"/>
        </w:rPr>
        <w:t xml:space="preserve">of </w:t>
      </w:r>
      <w:r w:rsidRPr="009A2AEF">
        <w:rPr>
          <w:rFonts w:eastAsia="仿宋_GB2312"/>
          <w:bCs/>
          <w:sz w:val="28"/>
          <w:szCs w:val="28"/>
          <w:lang w:val="en-US"/>
        </w:rPr>
        <w:t>acquir</w:t>
      </w:r>
      <w:r w:rsidR="00156C9E">
        <w:rPr>
          <w:rFonts w:eastAsia="仿宋_GB2312"/>
          <w:bCs/>
          <w:sz w:val="28"/>
          <w:szCs w:val="28"/>
          <w:lang w:val="en-US"/>
        </w:rPr>
        <w:t xml:space="preserve">ing </w:t>
      </w:r>
      <w:r w:rsidR="00D126C7">
        <w:rPr>
          <w:rFonts w:eastAsia="仿宋_GB2312"/>
          <w:bCs/>
          <w:sz w:val="28"/>
          <w:szCs w:val="28"/>
          <w:lang w:val="en-US"/>
        </w:rPr>
        <w:t xml:space="preserve">undervalued </w:t>
      </w:r>
      <w:r w:rsidR="00156C9E">
        <w:rPr>
          <w:rFonts w:eastAsia="仿宋_GB2312"/>
          <w:bCs/>
          <w:sz w:val="28"/>
          <w:szCs w:val="28"/>
          <w:lang w:val="en-US"/>
        </w:rPr>
        <w:t>companies</w:t>
      </w:r>
      <w:r w:rsidR="00CB2C4A">
        <w:rPr>
          <w:rFonts w:eastAsia="仿宋_GB2312"/>
          <w:bCs/>
          <w:sz w:val="28"/>
          <w:szCs w:val="28"/>
          <w:lang w:val="en-US"/>
        </w:rPr>
        <w:t xml:space="preserve"> with </w:t>
      </w:r>
      <w:r w:rsidR="00D126C7">
        <w:rPr>
          <w:rFonts w:eastAsia="仿宋_GB2312"/>
          <w:bCs/>
          <w:sz w:val="28"/>
          <w:szCs w:val="28"/>
          <w:lang w:val="en-US"/>
        </w:rPr>
        <w:t>intrinsic value trading at a discount (not because of underperformance but perhaps more due to temporary liquidity issues)</w:t>
      </w:r>
      <w:r w:rsidRPr="009A2AEF">
        <w:rPr>
          <w:rFonts w:eastAsia="仿宋_GB2312"/>
          <w:bCs/>
          <w:sz w:val="28"/>
          <w:szCs w:val="28"/>
          <w:lang w:val="en-US"/>
        </w:rPr>
        <w:t xml:space="preserve">. </w:t>
      </w:r>
      <w:r w:rsidR="00D704FC">
        <w:rPr>
          <w:rFonts w:eastAsia="仿宋_GB2312"/>
          <w:bCs/>
          <w:sz w:val="28"/>
          <w:szCs w:val="28"/>
          <w:lang w:val="en-US"/>
        </w:rPr>
        <w:t>Along the same vein</w:t>
      </w:r>
      <w:r w:rsidRPr="009A2AEF">
        <w:rPr>
          <w:rFonts w:eastAsia="仿宋_GB2312"/>
          <w:bCs/>
          <w:sz w:val="28"/>
          <w:szCs w:val="28"/>
          <w:lang w:val="en-US"/>
        </w:rPr>
        <w:t xml:space="preserve">, there also </w:t>
      </w:r>
      <w:r w:rsidR="00D704FC">
        <w:rPr>
          <w:rFonts w:eastAsia="仿宋_GB2312"/>
          <w:bCs/>
          <w:sz w:val="28"/>
          <w:szCs w:val="28"/>
          <w:lang w:val="en-US"/>
        </w:rPr>
        <w:t>exists</w:t>
      </w:r>
      <w:r w:rsidR="00D704FC" w:rsidRPr="009A2AEF">
        <w:rPr>
          <w:rFonts w:eastAsia="仿宋_GB2312"/>
          <w:bCs/>
          <w:sz w:val="28"/>
          <w:szCs w:val="28"/>
          <w:lang w:val="en-US"/>
        </w:rPr>
        <w:t xml:space="preserve"> </w:t>
      </w:r>
      <w:r w:rsidRPr="009A2AEF">
        <w:rPr>
          <w:rFonts w:eastAsia="仿宋_GB2312"/>
          <w:bCs/>
          <w:sz w:val="28"/>
          <w:szCs w:val="28"/>
          <w:lang w:val="en-US"/>
        </w:rPr>
        <w:t xml:space="preserve">opportunities to take controlling stakes at reasonable cost of </w:t>
      </w:r>
      <w:r w:rsidR="00D704FC">
        <w:rPr>
          <w:rFonts w:eastAsia="仿宋_GB2312"/>
          <w:bCs/>
          <w:sz w:val="28"/>
          <w:szCs w:val="28"/>
          <w:lang w:val="en-US"/>
        </w:rPr>
        <w:t>privately-held</w:t>
      </w:r>
      <w:r w:rsidR="00411059">
        <w:rPr>
          <w:rFonts w:eastAsia="仿宋_GB2312"/>
          <w:bCs/>
          <w:sz w:val="28"/>
          <w:szCs w:val="28"/>
          <w:lang w:val="en-US"/>
        </w:rPr>
        <w:t xml:space="preserve"> </w:t>
      </w:r>
      <w:r w:rsidRPr="009A2AEF">
        <w:rPr>
          <w:rFonts w:eastAsia="仿宋_GB2312"/>
          <w:bCs/>
          <w:sz w:val="28"/>
          <w:szCs w:val="28"/>
          <w:lang w:val="en-US"/>
        </w:rPr>
        <w:t xml:space="preserve">family businesses that are facing liquidity issues or </w:t>
      </w:r>
      <w:r w:rsidR="00D704FC">
        <w:rPr>
          <w:rFonts w:eastAsia="仿宋_GB2312"/>
          <w:bCs/>
          <w:sz w:val="28"/>
          <w:szCs w:val="28"/>
          <w:lang w:val="en-US"/>
        </w:rPr>
        <w:t>generational transition issues</w:t>
      </w:r>
      <w:r w:rsidRPr="009A2AEF">
        <w:rPr>
          <w:rFonts w:eastAsia="仿宋_GB2312"/>
          <w:bCs/>
          <w:sz w:val="28"/>
          <w:szCs w:val="28"/>
          <w:lang w:val="en-US"/>
        </w:rPr>
        <w:t xml:space="preserve">. The Company understands that compared with the pessimism of the domestic investors, overseas investors are more optimistic about China's economic outlook. Overseas investors </w:t>
      </w:r>
      <w:r w:rsidR="00411059">
        <w:rPr>
          <w:rFonts w:eastAsia="仿宋_GB2312"/>
          <w:bCs/>
          <w:sz w:val="28"/>
          <w:szCs w:val="28"/>
          <w:lang w:val="en-US"/>
        </w:rPr>
        <w:t xml:space="preserve">are </w:t>
      </w:r>
      <w:proofErr w:type="gramStart"/>
      <w:r w:rsidR="00411059">
        <w:rPr>
          <w:rFonts w:eastAsia="仿宋_GB2312"/>
          <w:bCs/>
          <w:sz w:val="28"/>
          <w:szCs w:val="28"/>
          <w:lang w:val="en-US"/>
        </w:rPr>
        <w:t xml:space="preserve">more </w:t>
      </w:r>
      <w:r w:rsidR="00D704FC">
        <w:rPr>
          <w:rFonts w:eastAsia="仿宋_GB2312"/>
          <w:bCs/>
          <w:sz w:val="28"/>
          <w:szCs w:val="28"/>
          <w:lang w:val="en-US"/>
        </w:rPr>
        <w:t>keen</w:t>
      </w:r>
      <w:proofErr w:type="gramEnd"/>
      <w:r w:rsidR="00D704FC">
        <w:rPr>
          <w:rFonts w:eastAsia="仿宋_GB2312"/>
          <w:bCs/>
          <w:sz w:val="28"/>
          <w:szCs w:val="28"/>
          <w:lang w:val="en-US"/>
        </w:rPr>
        <w:t xml:space="preserve"> on</w:t>
      </w:r>
      <w:r w:rsidRPr="009A2AEF">
        <w:rPr>
          <w:rFonts w:eastAsia="仿宋_GB2312"/>
          <w:bCs/>
          <w:sz w:val="28"/>
          <w:szCs w:val="28"/>
          <w:lang w:val="en-US"/>
        </w:rPr>
        <w:t xml:space="preserve"> “value investment” </w:t>
      </w:r>
      <w:r w:rsidR="00D704FC">
        <w:rPr>
          <w:rFonts w:eastAsia="仿宋_GB2312"/>
          <w:bCs/>
          <w:sz w:val="28"/>
          <w:szCs w:val="28"/>
          <w:lang w:val="en-US"/>
        </w:rPr>
        <w:t xml:space="preserve">as opposed to short-term profiteering, </w:t>
      </w:r>
      <w:r w:rsidRPr="009A2AEF">
        <w:rPr>
          <w:rFonts w:eastAsia="仿宋_GB2312"/>
          <w:bCs/>
          <w:sz w:val="28"/>
          <w:szCs w:val="28"/>
          <w:lang w:val="en-US"/>
        </w:rPr>
        <w:t xml:space="preserve">and </w:t>
      </w:r>
      <w:r w:rsidR="00D704FC">
        <w:rPr>
          <w:rFonts w:eastAsia="仿宋_GB2312"/>
          <w:bCs/>
          <w:sz w:val="28"/>
          <w:szCs w:val="28"/>
          <w:lang w:val="en-US"/>
        </w:rPr>
        <w:t xml:space="preserve">there may be room to tap into overseas funding to </w:t>
      </w:r>
      <w:r w:rsidRPr="009A2AEF">
        <w:rPr>
          <w:rFonts w:eastAsia="仿宋_GB2312"/>
          <w:bCs/>
          <w:sz w:val="28"/>
          <w:szCs w:val="28"/>
          <w:lang w:val="en-US"/>
        </w:rPr>
        <w:t>invest in</w:t>
      </w:r>
      <w:r w:rsidR="00D704FC">
        <w:rPr>
          <w:rFonts w:eastAsia="仿宋_GB2312"/>
          <w:bCs/>
          <w:sz w:val="28"/>
          <w:szCs w:val="28"/>
          <w:lang w:val="en-US"/>
        </w:rPr>
        <w:t xml:space="preserve"> China’s undervalued assets, whether public of private</w:t>
      </w:r>
      <w:r w:rsidRPr="009A2AEF">
        <w:rPr>
          <w:rFonts w:eastAsia="仿宋_GB2312"/>
          <w:bCs/>
          <w:sz w:val="28"/>
          <w:szCs w:val="28"/>
          <w:lang w:val="en-US"/>
        </w:rPr>
        <w:t xml:space="preserve">. </w:t>
      </w:r>
    </w:p>
    <w:p w14:paraId="730F9D29" w14:textId="057F0B8C" w:rsidR="00C569F6" w:rsidRPr="00274FD5" w:rsidRDefault="00C569F6" w:rsidP="00C569F6">
      <w:pPr>
        <w:tabs>
          <w:tab w:val="left" w:pos="330"/>
        </w:tabs>
        <w:spacing w:before="220" w:after="220" w:line="360" w:lineRule="auto"/>
        <w:jc w:val="both"/>
        <w:rPr>
          <w:rFonts w:eastAsia="仿宋_GB2312"/>
          <w:b/>
          <w:bCs/>
          <w:sz w:val="28"/>
          <w:szCs w:val="28"/>
        </w:rPr>
      </w:pPr>
      <w:r w:rsidRPr="00274FD5">
        <w:rPr>
          <w:rFonts w:eastAsia="仿宋_GB2312" w:hint="eastAsia"/>
          <w:b/>
          <w:bCs/>
          <w:sz w:val="28"/>
          <w:szCs w:val="28"/>
        </w:rPr>
        <w:t>I</w:t>
      </w:r>
      <w:r w:rsidRPr="00274FD5">
        <w:rPr>
          <w:rFonts w:eastAsia="仿宋_GB2312"/>
          <w:b/>
          <w:bCs/>
          <w:sz w:val="28"/>
          <w:szCs w:val="28"/>
        </w:rPr>
        <w:t>I. Investments in New Economy</w:t>
      </w:r>
    </w:p>
    <w:p w14:paraId="390D2BED" w14:textId="4A28EBDC" w:rsidR="00C569F6" w:rsidRPr="009A2AEF" w:rsidRDefault="00C76A62" w:rsidP="009A2AEF">
      <w:pPr>
        <w:spacing w:line="360" w:lineRule="auto"/>
        <w:jc w:val="both"/>
        <w:rPr>
          <w:rFonts w:eastAsia="仿宋_GB2312"/>
          <w:bCs/>
          <w:sz w:val="28"/>
          <w:szCs w:val="28"/>
          <w:lang w:val="en-US"/>
        </w:rPr>
      </w:pPr>
      <w:r>
        <w:rPr>
          <w:rFonts w:eastAsia="仿宋_GB2312"/>
          <w:bCs/>
          <w:sz w:val="28"/>
          <w:szCs w:val="28"/>
          <w:lang w:val="en-US"/>
        </w:rPr>
        <w:lastRenderedPageBreak/>
        <w:t>New economy-related investment opportunities are much sought after and the mania will continue into the next years</w:t>
      </w:r>
      <w:r w:rsidR="0053725A">
        <w:rPr>
          <w:rFonts w:eastAsia="仿宋_GB2312"/>
          <w:bCs/>
          <w:sz w:val="28"/>
          <w:szCs w:val="28"/>
          <w:lang w:val="en-US"/>
        </w:rPr>
        <w:t xml:space="preserve"> as investors bet on the future and the transformative effect of artificial intelligence, data, algorithms, machine learning, autonomous driving et cetera</w:t>
      </w:r>
      <w:r>
        <w:rPr>
          <w:rFonts w:eastAsia="仿宋_GB2312"/>
          <w:bCs/>
          <w:sz w:val="28"/>
          <w:szCs w:val="28"/>
          <w:lang w:val="en-US"/>
        </w:rPr>
        <w:t xml:space="preserve"> but </w:t>
      </w:r>
      <w:r w:rsidR="0053725A">
        <w:rPr>
          <w:rFonts w:eastAsia="仿宋_GB2312"/>
          <w:bCs/>
          <w:sz w:val="28"/>
          <w:szCs w:val="28"/>
          <w:lang w:val="en-US"/>
        </w:rPr>
        <w:t xml:space="preserve">very few companies will achieve the full potential of their valuation expectations and </w:t>
      </w:r>
      <w:r>
        <w:rPr>
          <w:rFonts w:eastAsia="仿宋_GB2312"/>
          <w:bCs/>
          <w:sz w:val="28"/>
          <w:szCs w:val="28"/>
          <w:lang w:val="en-US"/>
        </w:rPr>
        <w:t>t</w:t>
      </w:r>
      <w:r w:rsidR="005854D1">
        <w:rPr>
          <w:rFonts w:eastAsia="仿宋_GB2312"/>
          <w:bCs/>
          <w:sz w:val="28"/>
          <w:szCs w:val="28"/>
          <w:lang w:val="en-US"/>
        </w:rPr>
        <w:t>he risks associated with investing in n</w:t>
      </w:r>
      <w:r w:rsidR="00C569F6" w:rsidRPr="009A2AEF">
        <w:rPr>
          <w:rFonts w:eastAsia="仿宋_GB2312"/>
          <w:bCs/>
          <w:sz w:val="28"/>
          <w:szCs w:val="28"/>
          <w:lang w:val="en-US"/>
        </w:rPr>
        <w:t xml:space="preserve">ew </w:t>
      </w:r>
      <w:r w:rsidR="005854D1">
        <w:rPr>
          <w:rFonts w:eastAsia="仿宋_GB2312"/>
          <w:bCs/>
          <w:sz w:val="28"/>
          <w:szCs w:val="28"/>
          <w:lang w:val="en-US"/>
        </w:rPr>
        <w:t>e</w:t>
      </w:r>
      <w:r w:rsidR="005854D1" w:rsidRPr="009A2AEF">
        <w:rPr>
          <w:rFonts w:eastAsia="仿宋_GB2312"/>
          <w:bCs/>
          <w:sz w:val="28"/>
          <w:szCs w:val="28"/>
          <w:lang w:val="en-US"/>
        </w:rPr>
        <w:t>conomy</w:t>
      </w:r>
      <w:r w:rsidR="005854D1">
        <w:rPr>
          <w:rFonts w:eastAsia="仿宋_GB2312"/>
          <w:bCs/>
          <w:sz w:val="28"/>
          <w:szCs w:val="28"/>
          <w:lang w:val="en-US"/>
        </w:rPr>
        <w:t>-related opportunities may include lack of clear profitable business model or where is a profitable business model, the valuation is too prohibitive</w:t>
      </w:r>
      <w:r w:rsidR="00EF250D">
        <w:rPr>
          <w:rFonts w:eastAsia="仿宋_GB2312"/>
          <w:bCs/>
          <w:sz w:val="28"/>
          <w:szCs w:val="28"/>
          <w:lang w:val="en-US"/>
        </w:rPr>
        <w:t xml:space="preserve"> to justify an investment</w:t>
      </w:r>
      <w:r w:rsidR="00C569F6" w:rsidRPr="009A2AEF">
        <w:rPr>
          <w:rFonts w:eastAsia="仿宋_GB2312"/>
          <w:bCs/>
          <w:sz w:val="28"/>
          <w:szCs w:val="28"/>
          <w:lang w:val="en-US"/>
        </w:rPr>
        <w:t xml:space="preserve">. </w:t>
      </w:r>
      <w:r w:rsidR="00EF250D">
        <w:rPr>
          <w:rFonts w:eastAsia="仿宋_GB2312"/>
          <w:bCs/>
          <w:sz w:val="28"/>
          <w:szCs w:val="28"/>
          <w:lang w:val="en-US"/>
        </w:rPr>
        <w:t xml:space="preserve"> </w:t>
      </w:r>
      <w:r w:rsidR="00EF250D">
        <w:rPr>
          <w:rFonts w:eastAsia="仿宋_GB2312" w:hint="eastAsia"/>
          <w:bCs/>
          <w:sz w:val="28"/>
          <w:szCs w:val="28"/>
          <w:lang w:val="en-US"/>
        </w:rPr>
        <w:t>I</w:t>
      </w:r>
      <w:r w:rsidR="00EF250D">
        <w:rPr>
          <w:rFonts w:eastAsia="仿宋_GB2312"/>
          <w:bCs/>
          <w:sz w:val="28"/>
          <w:szCs w:val="28"/>
          <w:lang w:val="en-US"/>
        </w:rPr>
        <w:t>t is not uncommon nowadays to see investors recording losses when their portfolio companies go public at a valuation significantly lower than the valuation at which they invested before the IPO</w:t>
      </w:r>
      <w:r w:rsidR="00C569F6" w:rsidRPr="009A2AEF">
        <w:rPr>
          <w:rFonts w:eastAsia="仿宋_GB2312"/>
          <w:bCs/>
          <w:sz w:val="28"/>
          <w:szCs w:val="28"/>
          <w:lang w:val="en-US"/>
        </w:rPr>
        <w:t xml:space="preserve">. </w:t>
      </w:r>
      <w:r w:rsidR="00FC772D">
        <w:rPr>
          <w:rFonts w:eastAsia="仿宋_GB2312"/>
          <w:bCs/>
          <w:sz w:val="28"/>
          <w:szCs w:val="28"/>
          <w:lang w:val="en-US"/>
        </w:rPr>
        <w:t xml:space="preserve">We are seeing </w:t>
      </w:r>
      <w:r w:rsidR="00C569F6" w:rsidRPr="009A2AEF">
        <w:rPr>
          <w:rFonts w:eastAsia="仿宋_GB2312"/>
          <w:bCs/>
          <w:sz w:val="28"/>
          <w:szCs w:val="28"/>
          <w:lang w:val="en-US"/>
        </w:rPr>
        <w:t xml:space="preserve">some early investors of unicorn start-ups such as Ant Financial, </w:t>
      </w:r>
      <w:proofErr w:type="spellStart"/>
      <w:r w:rsidR="00C569F6" w:rsidRPr="009A2AEF">
        <w:rPr>
          <w:rFonts w:eastAsia="仿宋_GB2312"/>
          <w:bCs/>
          <w:sz w:val="28"/>
          <w:szCs w:val="28"/>
          <w:lang w:val="en-US"/>
        </w:rPr>
        <w:t>ByteDance</w:t>
      </w:r>
      <w:proofErr w:type="spellEnd"/>
      <w:r w:rsidR="00C569F6" w:rsidRPr="009A2AEF">
        <w:rPr>
          <w:rFonts w:eastAsia="仿宋_GB2312"/>
          <w:bCs/>
          <w:sz w:val="28"/>
          <w:szCs w:val="28"/>
          <w:lang w:val="en-US"/>
        </w:rPr>
        <w:t xml:space="preserve">, </w:t>
      </w:r>
      <w:proofErr w:type="spellStart"/>
      <w:r w:rsidR="00C569F6" w:rsidRPr="009A2AEF">
        <w:rPr>
          <w:rFonts w:eastAsia="仿宋_GB2312"/>
          <w:bCs/>
          <w:sz w:val="28"/>
          <w:szCs w:val="28"/>
          <w:lang w:val="en-US"/>
        </w:rPr>
        <w:t>Kuaishou</w:t>
      </w:r>
      <w:proofErr w:type="spellEnd"/>
      <w:r w:rsidR="00C569F6" w:rsidRPr="009A2AEF">
        <w:rPr>
          <w:rFonts w:eastAsia="仿宋_GB2312"/>
          <w:bCs/>
          <w:sz w:val="28"/>
          <w:szCs w:val="28"/>
          <w:lang w:val="en-US"/>
        </w:rPr>
        <w:t xml:space="preserve"> </w:t>
      </w:r>
      <w:r w:rsidR="00FC772D">
        <w:rPr>
          <w:rFonts w:eastAsia="仿宋_GB2312"/>
          <w:bCs/>
          <w:sz w:val="28"/>
          <w:szCs w:val="28"/>
          <w:lang w:val="en-US"/>
        </w:rPr>
        <w:t xml:space="preserve">seeking to exit through transfers of their LP interest in order to benefit from the higher valuations which may not sustain until the actual IPO.  There is also a trend that PE investors are moving their investment </w:t>
      </w:r>
      <w:r w:rsidR="00164717">
        <w:rPr>
          <w:rFonts w:eastAsia="仿宋_GB2312"/>
          <w:bCs/>
          <w:sz w:val="28"/>
          <w:szCs w:val="28"/>
          <w:lang w:val="en-US"/>
        </w:rPr>
        <w:t>needle</w:t>
      </w:r>
      <w:r w:rsidR="00FC772D">
        <w:rPr>
          <w:rFonts w:eastAsia="仿宋_GB2312"/>
          <w:bCs/>
          <w:sz w:val="28"/>
          <w:szCs w:val="28"/>
          <w:lang w:val="en-US"/>
        </w:rPr>
        <w:t xml:space="preserve"> towards the VC end of the </w:t>
      </w:r>
      <w:r w:rsidR="00164717">
        <w:rPr>
          <w:rFonts w:eastAsia="仿宋_GB2312"/>
          <w:bCs/>
          <w:sz w:val="28"/>
          <w:szCs w:val="28"/>
          <w:lang w:val="en-US"/>
        </w:rPr>
        <w:t>spectrum in order to capitalize on the valuation windows that exist at an earlier stage of the target company</w:t>
      </w:r>
      <w:r w:rsidR="00C569F6" w:rsidRPr="009A2AEF">
        <w:rPr>
          <w:rFonts w:eastAsia="仿宋_GB2312"/>
          <w:bCs/>
          <w:sz w:val="28"/>
          <w:szCs w:val="28"/>
          <w:lang w:val="en-US"/>
        </w:rPr>
        <w:t>.</w:t>
      </w:r>
    </w:p>
    <w:p w14:paraId="5111D986" w14:textId="69235215" w:rsidR="00855D91" w:rsidRPr="009A2AEF" w:rsidRDefault="00395D12" w:rsidP="009A2AEF">
      <w:pPr>
        <w:spacing w:line="360" w:lineRule="auto"/>
        <w:jc w:val="both"/>
        <w:rPr>
          <w:rFonts w:eastAsia="仿宋_GB2312"/>
          <w:bCs/>
          <w:sz w:val="28"/>
          <w:szCs w:val="28"/>
          <w:lang w:val="en-US"/>
        </w:rPr>
      </w:pPr>
      <w:r>
        <w:rPr>
          <w:rFonts w:eastAsia="仿宋_GB2312"/>
          <w:bCs/>
          <w:sz w:val="28"/>
          <w:szCs w:val="28"/>
          <w:lang w:val="en-US"/>
        </w:rPr>
        <w:t xml:space="preserve">We need to be cautious and rational in our assessments of new economy opportunities and not just follow the trend.  Our team is making headway in </w:t>
      </w:r>
      <w:r w:rsidR="0084756A">
        <w:rPr>
          <w:rFonts w:eastAsia="仿宋_GB2312"/>
          <w:bCs/>
          <w:sz w:val="28"/>
          <w:szCs w:val="28"/>
          <w:lang w:val="en-US"/>
        </w:rPr>
        <w:t xml:space="preserve">our </w:t>
      </w:r>
      <w:r>
        <w:rPr>
          <w:rFonts w:eastAsia="仿宋_GB2312"/>
          <w:bCs/>
          <w:sz w:val="28"/>
          <w:szCs w:val="28"/>
          <w:lang w:val="en-US"/>
        </w:rPr>
        <w:t xml:space="preserve">reconnaissance of the underlying subsectors and the leaders of the </w:t>
      </w:r>
      <w:r w:rsidR="00C569F6" w:rsidRPr="009A2AEF">
        <w:rPr>
          <w:rFonts w:eastAsia="仿宋_GB2312"/>
          <w:bCs/>
          <w:sz w:val="28"/>
          <w:szCs w:val="28"/>
          <w:lang w:val="en-US"/>
        </w:rPr>
        <w:t xml:space="preserve">field. In high-tech industries such as TMT, only by entering the field and knowing more entrepreneurs can </w:t>
      </w:r>
      <w:r w:rsidR="00D026BD">
        <w:rPr>
          <w:rFonts w:eastAsia="仿宋_GB2312"/>
          <w:bCs/>
          <w:sz w:val="28"/>
          <w:szCs w:val="28"/>
          <w:lang w:val="en-US"/>
        </w:rPr>
        <w:t xml:space="preserve">we </w:t>
      </w:r>
      <w:r w:rsidR="00C569F6" w:rsidRPr="009A2AEF">
        <w:rPr>
          <w:rFonts w:eastAsia="仿宋_GB2312"/>
          <w:bCs/>
          <w:sz w:val="28"/>
          <w:szCs w:val="28"/>
          <w:lang w:val="en-US"/>
        </w:rPr>
        <w:t>get early investment opportunities.</w:t>
      </w:r>
      <w:r w:rsidR="00855D91" w:rsidRPr="009A2AEF">
        <w:rPr>
          <w:rFonts w:eastAsia="仿宋_GB2312" w:hint="eastAsia"/>
          <w:bCs/>
          <w:sz w:val="28"/>
          <w:szCs w:val="28"/>
          <w:lang w:val="en-US"/>
        </w:rPr>
        <w:t xml:space="preserve"> </w:t>
      </w:r>
    </w:p>
    <w:p w14:paraId="3FE8F46A" w14:textId="71207A67" w:rsidR="00C569F6" w:rsidRPr="009A2AEF" w:rsidRDefault="00C569F6" w:rsidP="009A2AEF">
      <w:pPr>
        <w:spacing w:line="360" w:lineRule="auto"/>
        <w:jc w:val="both"/>
        <w:rPr>
          <w:rFonts w:eastAsia="仿宋_GB2312"/>
          <w:bCs/>
          <w:sz w:val="28"/>
          <w:szCs w:val="28"/>
          <w:lang w:val="en-US"/>
        </w:rPr>
      </w:pPr>
      <w:r w:rsidRPr="009A2AEF">
        <w:rPr>
          <w:rFonts w:eastAsia="仿宋_GB2312"/>
          <w:bCs/>
          <w:sz w:val="28"/>
          <w:szCs w:val="28"/>
          <w:lang w:val="en-US"/>
        </w:rPr>
        <w:lastRenderedPageBreak/>
        <w:t xml:space="preserve">In 2019, the Company will </w:t>
      </w:r>
      <w:r w:rsidR="00855D91" w:rsidRPr="009A2AEF">
        <w:rPr>
          <w:rFonts w:eastAsia="仿宋_GB2312"/>
          <w:bCs/>
          <w:sz w:val="28"/>
          <w:szCs w:val="28"/>
          <w:lang w:val="en-US"/>
        </w:rPr>
        <w:t xml:space="preserve">continue to </w:t>
      </w:r>
      <w:r w:rsidRPr="009A2AEF">
        <w:rPr>
          <w:rFonts w:eastAsia="仿宋_GB2312"/>
          <w:bCs/>
          <w:sz w:val="28"/>
          <w:szCs w:val="28"/>
          <w:lang w:val="en-US"/>
        </w:rPr>
        <w:t>invest in talents and manpower, accumulate resources around venture capital investments, and participate more in the early investments in</w:t>
      </w:r>
      <w:r w:rsidR="0084756A">
        <w:rPr>
          <w:rFonts w:eastAsia="仿宋_GB2312"/>
          <w:bCs/>
          <w:sz w:val="28"/>
          <w:szCs w:val="28"/>
          <w:lang w:val="en-US"/>
        </w:rPr>
        <w:t xml:space="preserve"> new economy sectors</w:t>
      </w:r>
      <w:r w:rsidRPr="009A2AEF">
        <w:rPr>
          <w:rFonts w:eastAsia="仿宋_GB2312"/>
          <w:bCs/>
          <w:sz w:val="28"/>
          <w:szCs w:val="28"/>
          <w:lang w:val="en-US"/>
        </w:rPr>
        <w:t xml:space="preserve">. </w:t>
      </w:r>
      <w:r w:rsidR="0084756A">
        <w:rPr>
          <w:rFonts w:eastAsia="仿宋_GB2312"/>
          <w:bCs/>
          <w:sz w:val="28"/>
          <w:szCs w:val="28"/>
          <w:lang w:val="en-US"/>
        </w:rPr>
        <w:t>T</w:t>
      </w:r>
      <w:r w:rsidRPr="009A2AEF">
        <w:rPr>
          <w:rFonts w:eastAsia="仿宋_GB2312"/>
          <w:bCs/>
          <w:sz w:val="28"/>
          <w:szCs w:val="28"/>
          <w:lang w:val="en-US"/>
        </w:rPr>
        <w:t xml:space="preserve">he Company is also considering the use of third-party institutions to raise </w:t>
      </w:r>
      <w:r w:rsidR="0084756A">
        <w:rPr>
          <w:rFonts w:eastAsia="仿宋_GB2312"/>
          <w:bCs/>
          <w:sz w:val="28"/>
          <w:szCs w:val="28"/>
          <w:lang w:val="en-US"/>
        </w:rPr>
        <w:t>money</w:t>
      </w:r>
      <w:r w:rsidRPr="009A2AEF">
        <w:rPr>
          <w:rFonts w:eastAsia="仿宋_GB2312"/>
          <w:bCs/>
          <w:sz w:val="28"/>
          <w:szCs w:val="28"/>
          <w:lang w:val="en-US"/>
        </w:rPr>
        <w:t>.</w:t>
      </w:r>
    </w:p>
    <w:p w14:paraId="66F567FD" w14:textId="77777777" w:rsidR="00C569F6" w:rsidRPr="00274FD5" w:rsidRDefault="00C569F6" w:rsidP="00C569F6">
      <w:pPr>
        <w:tabs>
          <w:tab w:val="left" w:pos="330"/>
        </w:tabs>
        <w:spacing w:before="220" w:after="220" w:line="360" w:lineRule="auto"/>
        <w:jc w:val="both"/>
        <w:rPr>
          <w:rFonts w:eastAsia="仿宋_GB2312"/>
          <w:b/>
          <w:bCs/>
          <w:sz w:val="28"/>
          <w:szCs w:val="28"/>
        </w:rPr>
      </w:pPr>
      <w:r w:rsidRPr="00274FD5">
        <w:rPr>
          <w:rFonts w:eastAsia="仿宋_GB2312" w:hint="eastAsia"/>
          <w:b/>
          <w:bCs/>
          <w:sz w:val="28"/>
          <w:szCs w:val="28"/>
        </w:rPr>
        <w:t>I</w:t>
      </w:r>
      <w:r>
        <w:rPr>
          <w:rFonts w:eastAsia="仿宋_GB2312"/>
          <w:b/>
          <w:bCs/>
          <w:sz w:val="28"/>
          <w:szCs w:val="28"/>
        </w:rPr>
        <w:t>II. Cross-border M&amp;A</w:t>
      </w:r>
    </w:p>
    <w:p w14:paraId="6FA33ACF" w14:textId="7A626753" w:rsidR="00C569F6" w:rsidRPr="009A2AEF" w:rsidRDefault="00C569F6" w:rsidP="009A2AEF">
      <w:pPr>
        <w:spacing w:line="360" w:lineRule="auto"/>
        <w:jc w:val="both"/>
        <w:rPr>
          <w:rFonts w:eastAsia="仿宋_GB2312"/>
          <w:bCs/>
          <w:sz w:val="28"/>
          <w:szCs w:val="28"/>
          <w:lang w:val="en-US"/>
        </w:rPr>
      </w:pPr>
      <w:r w:rsidRPr="009A2AEF">
        <w:rPr>
          <w:rFonts w:eastAsia="仿宋_GB2312"/>
          <w:bCs/>
          <w:sz w:val="28"/>
          <w:szCs w:val="28"/>
          <w:lang w:val="en-US"/>
        </w:rPr>
        <w:t xml:space="preserve">China’s cross-border M&amp;A </w:t>
      </w:r>
      <w:r w:rsidR="00BC4C9D">
        <w:rPr>
          <w:rFonts w:eastAsia="仿宋_GB2312"/>
          <w:bCs/>
          <w:sz w:val="28"/>
          <w:szCs w:val="28"/>
          <w:lang w:val="en-US"/>
        </w:rPr>
        <w:t xml:space="preserve">regulatory </w:t>
      </w:r>
      <w:r w:rsidRPr="009A2AEF">
        <w:rPr>
          <w:rFonts w:eastAsia="仿宋_GB2312"/>
          <w:bCs/>
          <w:sz w:val="28"/>
          <w:szCs w:val="28"/>
          <w:lang w:val="en-US"/>
        </w:rPr>
        <w:t>approvals for acquiring overseas asset</w:t>
      </w:r>
      <w:r w:rsidR="00BC4C9D">
        <w:rPr>
          <w:rFonts w:eastAsia="仿宋_GB2312"/>
          <w:bCs/>
          <w:sz w:val="28"/>
          <w:szCs w:val="28"/>
          <w:lang w:val="en-US"/>
        </w:rPr>
        <w:t>s (and for exchanging RMB into foreign currency)</w:t>
      </w:r>
      <w:r w:rsidRPr="009A2AEF">
        <w:rPr>
          <w:rFonts w:eastAsia="仿宋_GB2312"/>
          <w:bCs/>
          <w:sz w:val="28"/>
          <w:szCs w:val="28"/>
          <w:lang w:val="en-US"/>
        </w:rPr>
        <w:t xml:space="preserve"> are </w:t>
      </w:r>
      <w:r w:rsidR="00BC4C9D">
        <w:rPr>
          <w:rFonts w:eastAsia="仿宋_GB2312"/>
          <w:bCs/>
          <w:sz w:val="28"/>
          <w:szCs w:val="28"/>
          <w:lang w:val="en-US"/>
        </w:rPr>
        <w:t>permitted with certain restrictions</w:t>
      </w:r>
      <w:r w:rsidRPr="009A2AEF">
        <w:rPr>
          <w:rFonts w:eastAsia="仿宋_GB2312"/>
          <w:bCs/>
          <w:sz w:val="28"/>
          <w:szCs w:val="28"/>
          <w:lang w:val="en-US"/>
        </w:rPr>
        <w:t xml:space="preserve"> </w:t>
      </w:r>
      <w:r w:rsidR="00BC4C9D">
        <w:rPr>
          <w:rFonts w:eastAsia="仿宋_GB2312"/>
          <w:bCs/>
          <w:sz w:val="28"/>
          <w:szCs w:val="28"/>
          <w:lang w:val="en-US"/>
        </w:rPr>
        <w:t xml:space="preserve">relating to </w:t>
      </w:r>
      <w:r w:rsidRPr="009A2AEF">
        <w:rPr>
          <w:rFonts w:eastAsia="仿宋_GB2312"/>
          <w:bCs/>
          <w:sz w:val="28"/>
          <w:szCs w:val="28"/>
          <w:lang w:val="en-US"/>
        </w:rPr>
        <w:t>non-real-economy targets such as entertainment</w:t>
      </w:r>
      <w:r w:rsidR="00BC4C9D">
        <w:rPr>
          <w:rFonts w:eastAsia="仿宋_GB2312"/>
          <w:bCs/>
          <w:sz w:val="28"/>
          <w:szCs w:val="28"/>
          <w:lang w:val="en-US"/>
        </w:rPr>
        <w:t xml:space="preserve">, </w:t>
      </w:r>
      <w:r w:rsidRPr="009A2AEF">
        <w:rPr>
          <w:rFonts w:eastAsia="仿宋_GB2312"/>
          <w:bCs/>
          <w:sz w:val="28"/>
          <w:szCs w:val="28"/>
          <w:lang w:val="en-US"/>
        </w:rPr>
        <w:t>sports</w:t>
      </w:r>
      <w:r w:rsidR="00BC4C9D">
        <w:rPr>
          <w:rFonts w:eastAsia="仿宋_GB2312"/>
          <w:bCs/>
          <w:sz w:val="28"/>
          <w:szCs w:val="28"/>
          <w:lang w:val="en-US"/>
        </w:rPr>
        <w:t xml:space="preserve"> and real estate-related targets</w:t>
      </w:r>
      <w:r w:rsidRPr="009A2AEF">
        <w:rPr>
          <w:rFonts w:eastAsia="仿宋_GB2312"/>
          <w:bCs/>
          <w:sz w:val="28"/>
          <w:szCs w:val="28"/>
          <w:lang w:val="en-US"/>
        </w:rPr>
        <w:t xml:space="preserve">. </w:t>
      </w:r>
    </w:p>
    <w:p w14:paraId="64141899" w14:textId="71C54144" w:rsidR="00C569F6" w:rsidRPr="009A2AEF" w:rsidRDefault="00C569F6" w:rsidP="009A2AEF">
      <w:pPr>
        <w:spacing w:line="360" w:lineRule="auto"/>
        <w:jc w:val="both"/>
        <w:rPr>
          <w:rFonts w:eastAsia="仿宋_GB2312"/>
          <w:bCs/>
          <w:sz w:val="28"/>
          <w:szCs w:val="28"/>
          <w:lang w:val="en-US"/>
        </w:rPr>
      </w:pPr>
      <w:r w:rsidRPr="009A2AEF">
        <w:rPr>
          <w:rFonts w:eastAsia="仿宋_GB2312"/>
          <w:bCs/>
          <w:sz w:val="28"/>
          <w:szCs w:val="28"/>
          <w:lang w:val="en-US"/>
        </w:rPr>
        <w:t xml:space="preserve">The United States and EU countries including Germany have </w:t>
      </w:r>
      <w:r w:rsidR="00AF1388">
        <w:rPr>
          <w:rFonts w:eastAsia="仿宋_GB2312"/>
          <w:bCs/>
          <w:sz w:val="28"/>
          <w:szCs w:val="28"/>
          <w:lang w:val="en-US"/>
        </w:rPr>
        <w:t>implemented</w:t>
      </w:r>
      <w:r w:rsidR="00AF1388" w:rsidRPr="009A2AEF">
        <w:rPr>
          <w:rFonts w:eastAsia="仿宋_GB2312"/>
          <w:bCs/>
          <w:sz w:val="28"/>
          <w:szCs w:val="28"/>
          <w:lang w:val="en-US"/>
        </w:rPr>
        <w:t xml:space="preserve"> </w:t>
      </w:r>
      <w:r w:rsidR="00AF1388">
        <w:rPr>
          <w:rFonts w:eastAsia="仿宋_GB2312"/>
          <w:bCs/>
          <w:sz w:val="28"/>
          <w:szCs w:val="28"/>
          <w:lang w:val="en-US"/>
        </w:rPr>
        <w:t xml:space="preserve">strict </w:t>
      </w:r>
      <w:r w:rsidRPr="009A2AEF">
        <w:rPr>
          <w:rFonts w:eastAsia="仿宋_GB2312"/>
          <w:bCs/>
          <w:sz w:val="28"/>
          <w:szCs w:val="28"/>
          <w:lang w:val="en-US"/>
        </w:rPr>
        <w:t xml:space="preserve">restrictions on Chinese companies, especially Chinese state-owned enterprises or funds affiliated with state-owned enterprises, from acquiring high-tech, high-end manufacturing companies with leading and advanced technologies. </w:t>
      </w:r>
      <w:r w:rsidR="00AF1388">
        <w:rPr>
          <w:rFonts w:eastAsia="仿宋_GB2312"/>
          <w:bCs/>
          <w:sz w:val="28"/>
          <w:szCs w:val="28"/>
          <w:lang w:val="en-US"/>
        </w:rPr>
        <w:t>T</w:t>
      </w:r>
      <w:r w:rsidRPr="009A2AEF">
        <w:rPr>
          <w:rFonts w:eastAsia="仿宋_GB2312"/>
          <w:bCs/>
          <w:sz w:val="28"/>
          <w:szCs w:val="28"/>
          <w:lang w:val="en-US"/>
        </w:rPr>
        <w:t xml:space="preserve">he Company will </w:t>
      </w:r>
      <w:r w:rsidR="00AF1388">
        <w:rPr>
          <w:rFonts w:eastAsia="仿宋_GB2312"/>
          <w:bCs/>
          <w:sz w:val="28"/>
          <w:szCs w:val="28"/>
          <w:lang w:val="en-US"/>
        </w:rPr>
        <w:t>review its strategic focus and approach on cross-border M&amp;A to adapt to rapidly changing market circumstances</w:t>
      </w:r>
      <w:r w:rsidR="00AF1388" w:rsidRPr="009A2AEF">
        <w:rPr>
          <w:rFonts w:eastAsia="仿宋_GB2312"/>
          <w:bCs/>
          <w:sz w:val="28"/>
          <w:szCs w:val="28"/>
          <w:lang w:val="en-US"/>
        </w:rPr>
        <w:t xml:space="preserve"> </w:t>
      </w:r>
      <w:r w:rsidR="00AF1388">
        <w:rPr>
          <w:rFonts w:eastAsia="仿宋_GB2312"/>
          <w:bCs/>
          <w:sz w:val="28"/>
          <w:szCs w:val="28"/>
          <w:lang w:val="en-US"/>
        </w:rPr>
        <w:t>and</w:t>
      </w:r>
      <w:r w:rsidRPr="009A2AEF">
        <w:rPr>
          <w:rFonts w:eastAsia="仿宋_GB2312"/>
          <w:bCs/>
          <w:sz w:val="28"/>
          <w:szCs w:val="28"/>
          <w:lang w:val="en-US"/>
        </w:rPr>
        <w:t xml:space="preserve"> focus more </w:t>
      </w:r>
      <w:r w:rsidR="00AF1388">
        <w:rPr>
          <w:rFonts w:eastAsia="仿宋_GB2312"/>
          <w:bCs/>
          <w:sz w:val="28"/>
          <w:szCs w:val="28"/>
          <w:lang w:val="en-US"/>
        </w:rPr>
        <w:t xml:space="preserve">on </w:t>
      </w:r>
      <w:r w:rsidRPr="009A2AEF">
        <w:rPr>
          <w:rFonts w:eastAsia="仿宋_GB2312"/>
          <w:bCs/>
          <w:sz w:val="28"/>
          <w:szCs w:val="28"/>
          <w:lang w:val="en-US"/>
        </w:rPr>
        <w:t>cooperation with private enterprises and private capital to acquire overseas targets in non-sensitive industries.</w:t>
      </w:r>
    </w:p>
    <w:p w14:paraId="72009A18" w14:textId="77777777" w:rsidR="00C569F6" w:rsidRPr="00274FD5" w:rsidRDefault="00C569F6" w:rsidP="00C569F6">
      <w:pPr>
        <w:tabs>
          <w:tab w:val="left" w:pos="330"/>
        </w:tabs>
        <w:spacing w:before="220" w:after="220" w:line="360" w:lineRule="auto"/>
        <w:jc w:val="both"/>
        <w:rPr>
          <w:rFonts w:eastAsia="仿宋_GB2312"/>
          <w:b/>
          <w:bCs/>
          <w:sz w:val="28"/>
          <w:szCs w:val="28"/>
        </w:rPr>
      </w:pPr>
      <w:r w:rsidRPr="00274FD5">
        <w:rPr>
          <w:rFonts w:eastAsia="仿宋_GB2312" w:hint="eastAsia"/>
          <w:b/>
          <w:bCs/>
          <w:sz w:val="28"/>
          <w:szCs w:val="28"/>
        </w:rPr>
        <w:t>I</w:t>
      </w:r>
      <w:r>
        <w:rPr>
          <w:rFonts w:eastAsia="仿宋_GB2312"/>
          <w:b/>
          <w:bCs/>
          <w:sz w:val="28"/>
          <w:szCs w:val="28"/>
        </w:rPr>
        <w:t>V. Do</w:t>
      </w:r>
      <w:r w:rsidRPr="00274FD5">
        <w:rPr>
          <w:rFonts w:eastAsia="仿宋_GB2312"/>
          <w:b/>
          <w:bCs/>
          <w:sz w:val="28"/>
          <w:szCs w:val="28"/>
        </w:rPr>
        <w:t>mestic Blind Pool Fundraising</w:t>
      </w:r>
    </w:p>
    <w:p w14:paraId="1C2475DE" w14:textId="7DC06A49" w:rsidR="00C569F6" w:rsidRPr="009A2AEF" w:rsidRDefault="00C569F6" w:rsidP="009A2AEF">
      <w:pPr>
        <w:spacing w:line="360" w:lineRule="auto"/>
        <w:jc w:val="both"/>
        <w:rPr>
          <w:rFonts w:eastAsia="仿宋_GB2312"/>
          <w:bCs/>
          <w:sz w:val="28"/>
          <w:szCs w:val="28"/>
          <w:lang w:val="en-US"/>
        </w:rPr>
      </w:pPr>
      <w:r w:rsidRPr="009A2AEF">
        <w:rPr>
          <w:rFonts w:eastAsia="仿宋_GB2312"/>
          <w:bCs/>
          <w:sz w:val="28"/>
          <w:szCs w:val="28"/>
          <w:lang w:val="en-US"/>
        </w:rPr>
        <w:t xml:space="preserve">In terms of blind pool fundraising, the Company </w:t>
      </w:r>
      <w:r w:rsidR="00A7416E">
        <w:rPr>
          <w:rFonts w:eastAsia="仿宋_GB2312"/>
          <w:bCs/>
          <w:sz w:val="28"/>
          <w:szCs w:val="28"/>
          <w:lang w:val="en-US"/>
        </w:rPr>
        <w:t>continues to cultivate</w:t>
      </w:r>
      <w:r w:rsidR="00A7416E" w:rsidRPr="009A2AEF">
        <w:rPr>
          <w:rFonts w:eastAsia="仿宋_GB2312"/>
          <w:bCs/>
          <w:sz w:val="28"/>
          <w:szCs w:val="28"/>
          <w:lang w:val="en-US"/>
        </w:rPr>
        <w:t xml:space="preserve"> </w:t>
      </w:r>
      <w:r w:rsidR="00DD2231">
        <w:rPr>
          <w:rFonts w:eastAsia="仿宋_GB2312"/>
          <w:bCs/>
          <w:sz w:val="28"/>
          <w:szCs w:val="28"/>
          <w:lang w:val="en-US"/>
        </w:rPr>
        <w:t>its</w:t>
      </w:r>
      <w:r w:rsidR="00DD2231" w:rsidRPr="009A2AEF">
        <w:rPr>
          <w:rFonts w:eastAsia="仿宋_GB2312"/>
          <w:bCs/>
          <w:sz w:val="28"/>
          <w:szCs w:val="28"/>
          <w:lang w:val="en-US"/>
        </w:rPr>
        <w:t xml:space="preserve"> </w:t>
      </w:r>
      <w:r w:rsidRPr="009A2AEF">
        <w:rPr>
          <w:rFonts w:eastAsia="仿宋_GB2312"/>
          <w:bCs/>
          <w:sz w:val="28"/>
          <w:szCs w:val="28"/>
          <w:lang w:val="en-US"/>
        </w:rPr>
        <w:t xml:space="preserve">connections with </w:t>
      </w:r>
      <w:r w:rsidR="00DD2231">
        <w:rPr>
          <w:rFonts w:eastAsia="仿宋_GB2312"/>
          <w:bCs/>
          <w:sz w:val="28"/>
          <w:szCs w:val="28"/>
          <w:lang w:val="en-US"/>
        </w:rPr>
        <w:t xml:space="preserve">potential </w:t>
      </w:r>
      <w:r w:rsidRPr="009A2AEF">
        <w:rPr>
          <w:rFonts w:eastAsia="仿宋_GB2312"/>
          <w:bCs/>
          <w:sz w:val="28"/>
          <w:szCs w:val="28"/>
          <w:lang w:val="en-US"/>
        </w:rPr>
        <w:t>investors</w:t>
      </w:r>
      <w:r w:rsidR="00A7416E">
        <w:rPr>
          <w:rFonts w:eastAsia="仿宋_GB2312"/>
          <w:bCs/>
          <w:sz w:val="28"/>
          <w:szCs w:val="28"/>
          <w:lang w:val="en-US"/>
        </w:rPr>
        <w:t>,</w:t>
      </w:r>
      <w:r w:rsidR="00A7416E" w:rsidRPr="009A2AEF">
        <w:rPr>
          <w:rFonts w:eastAsia="仿宋_GB2312"/>
          <w:bCs/>
          <w:sz w:val="28"/>
          <w:szCs w:val="28"/>
          <w:lang w:val="en-US"/>
        </w:rPr>
        <w:t xml:space="preserve"> </w:t>
      </w:r>
      <w:r w:rsidR="00A7416E">
        <w:rPr>
          <w:rFonts w:eastAsia="仿宋_GB2312"/>
          <w:bCs/>
          <w:sz w:val="28"/>
          <w:szCs w:val="28"/>
          <w:lang w:val="en-US"/>
        </w:rPr>
        <w:t>p</w:t>
      </w:r>
      <w:r w:rsidR="00A7416E" w:rsidRPr="009A2AEF">
        <w:rPr>
          <w:rFonts w:eastAsia="仿宋_GB2312"/>
          <w:bCs/>
          <w:sz w:val="28"/>
          <w:szCs w:val="28"/>
          <w:lang w:val="en-US"/>
        </w:rPr>
        <w:t>articularly</w:t>
      </w:r>
      <w:r w:rsidRPr="009A2AEF">
        <w:rPr>
          <w:rFonts w:eastAsia="仿宋_GB2312"/>
          <w:bCs/>
          <w:sz w:val="28"/>
          <w:szCs w:val="28"/>
          <w:lang w:val="en-US"/>
        </w:rPr>
        <w:t xml:space="preserve">, FOFs of the local government platforms. </w:t>
      </w:r>
      <w:r w:rsidR="00A7416E">
        <w:rPr>
          <w:rFonts w:eastAsia="仿宋_GB2312"/>
          <w:bCs/>
          <w:sz w:val="28"/>
          <w:szCs w:val="28"/>
          <w:lang w:val="en-US"/>
        </w:rPr>
        <w:t>T</w:t>
      </w:r>
      <w:r w:rsidRPr="009A2AEF">
        <w:rPr>
          <w:rFonts w:eastAsia="仿宋_GB2312"/>
          <w:bCs/>
          <w:sz w:val="28"/>
          <w:szCs w:val="28"/>
          <w:lang w:val="en-US"/>
        </w:rPr>
        <w:t xml:space="preserve">he most difficult aspect of fundraising is to </w:t>
      </w:r>
      <w:r w:rsidR="00A7416E">
        <w:rPr>
          <w:rFonts w:eastAsia="仿宋_GB2312"/>
          <w:bCs/>
          <w:sz w:val="28"/>
          <w:szCs w:val="28"/>
          <w:lang w:val="en-US"/>
        </w:rPr>
        <w:t>raise</w:t>
      </w:r>
      <w:r w:rsidR="00A7416E" w:rsidRPr="009A2AEF">
        <w:rPr>
          <w:rFonts w:eastAsia="仿宋_GB2312"/>
          <w:bCs/>
          <w:sz w:val="28"/>
          <w:szCs w:val="28"/>
          <w:lang w:val="en-US"/>
        </w:rPr>
        <w:t xml:space="preserve"> </w:t>
      </w:r>
      <w:r w:rsidRPr="009A2AEF">
        <w:rPr>
          <w:rFonts w:eastAsia="仿宋_GB2312"/>
          <w:bCs/>
          <w:sz w:val="28"/>
          <w:szCs w:val="28"/>
          <w:lang w:val="en-US"/>
        </w:rPr>
        <w:lastRenderedPageBreak/>
        <w:t>funding from private investors in the market. Since the Company's previous investors are mainly large financial institutions, the Company lacks connections with private investors. In 2019, the Company needs to continue to expand its fundraising scope: the first direction is to reach out to family funds. Family funds have been active in the FOF market in the past two years. Jiangsu and Zhejiang regions have high concentration of active family funds. The Company has begun to raise funds from some family funds. The second direction is to raise funds from high-net-worth individuals. The Company</w:t>
      </w:r>
      <w:r w:rsidR="009947A2">
        <w:rPr>
          <w:rFonts w:eastAsia="仿宋_GB2312"/>
          <w:bCs/>
          <w:sz w:val="28"/>
          <w:szCs w:val="28"/>
          <w:lang w:val="en-US"/>
        </w:rPr>
        <w:t xml:space="preserve"> will</w:t>
      </w:r>
      <w:r w:rsidRPr="009A2AEF">
        <w:rPr>
          <w:rFonts w:eastAsia="仿宋_GB2312"/>
          <w:bCs/>
          <w:sz w:val="28"/>
          <w:szCs w:val="28"/>
          <w:lang w:val="en-US"/>
        </w:rPr>
        <w:t xml:space="preserve"> also consider cooperating with third-party institutions </w:t>
      </w:r>
      <w:r w:rsidR="009371B1" w:rsidRPr="009A2AEF">
        <w:rPr>
          <w:rFonts w:eastAsia="仿宋_GB2312"/>
          <w:bCs/>
          <w:sz w:val="28"/>
          <w:szCs w:val="28"/>
          <w:lang w:val="en-US"/>
        </w:rPr>
        <w:t xml:space="preserve">for fundraising and for </w:t>
      </w:r>
      <w:r w:rsidRPr="009A2AEF">
        <w:rPr>
          <w:rFonts w:eastAsia="仿宋_GB2312"/>
          <w:bCs/>
          <w:sz w:val="28"/>
          <w:szCs w:val="28"/>
          <w:lang w:val="en-US"/>
        </w:rPr>
        <w:t>accumulat</w:t>
      </w:r>
      <w:r w:rsidR="009371B1" w:rsidRPr="009A2AEF">
        <w:rPr>
          <w:rFonts w:eastAsia="仿宋_GB2312"/>
          <w:bCs/>
          <w:sz w:val="28"/>
          <w:szCs w:val="28"/>
          <w:lang w:val="en-US"/>
        </w:rPr>
        <w:t>ing</w:t>
      </w:r>
      <w:r w:rsidRPr="009A2AEF">
        <w:rPr>
          <w:rFonts w:eastAsia="仿宋_GB2312"/>
          <w:bCs/>
          <w:sz w:val="28"/>
          <w:szCs w:val="28"/>
          <w:lang w:val="en-US"/>
        </w:rPr>
        <w:t xml:space="preserve"> its own high-net-worth investors as soon as possible.</w:t>
      </w:r>
    </w:p>
    <w:p w14:paraId="3DCA95E6" w14:textId="38678DFB" w:rsidR="00C569F6" w:rsidRPr="009A2AEF" w:rsidRDefault="00C569F6" w:rsidP="009A2AEF">
      <w:pPr>
        <w:spacing w:line="360" w:lineRule="auto"/>
        <w:jc w:val="both"/>
        <w:rPr>
          <w:rFonts w:eastAsia="仿宋_GB2312"/>
          <w:bCs/>
          <w:sz w:val="28"/>
          <w:szCs w:val="28"/>
          <w:lang w:val="en-US"/>
        </w:rPr>
      </w:pPr>
      <w:r w:rsidRPr="009A2AEF">
        <w:rPr>
          <w:rFonts w:eastAsia="仿宋_GB2312"/>
          <w:bCs/>
          <w:sz w:val="28"/>
          <w:szCs w:val="28"/>
          <w:lang w:val="en-US"/>
        </w:rPr>
        <w:t xml:space="preserve">In the direction of blind pool funds, the Company will focus more on industry funds, cooperate with industry investors, gain deeper understandings of the industries through industry investors, and </w:t>
      </w:r>
      <w:r w:rsidR="009947A2">
        <w:rPr>
          <w:rFonts w:eastAsia="仿宋_GB2312"/>
          <w:bCs/>
          <w:sz w:val="28"/>
          <w:szCs w:val="28"/>
          <w:lang w:val="en-US"/>
        </w:rPr>
        <w:t>promote</w:t>
      </w:r>
      <w:r w:rsidR="009947A2" w:rsidRPr="009A2AEF">
        <w:rPr>
          <w:rFonts w:eastAsia="仿宋_GB2312"/>
          <w:bCs/>
          <w:sz w:val="28"/>
          <w:szCs w:val="28"/>
          <w:lang w:val="en-US"/>
        </w:rPr>
        <w:t xml:space="preserve"> </w:t>
      </w:r>
      <w:r w:rsidRPr="009A2AEF">
        <w:rPr>
          <w:rFonts w:eastAsia="仿宋_GB2312"/>
          <w:bCs/>
          <w:sz w:val="28"/>
          <w:szCs w:val="28"/>
          <w:lang w:val="en-US"/>
        </w:rPr>
        <w:t>the advantages of the Company's fund management experience and execution</w:t>
      </w:r>
      <w:r w:rsidR="009947A2">
        <w:rPr>
          <w:rFonts w:eastAsia="仿宋_GB2312"/>
          <w:bCs/>
          <w:sz w:val="28"/>
          <w:szCs w:val="28"/>
          <w:lang w:val="en-US"/>
        </w:rPr>
        <w:t xml:space="preserve"> capabilities</w:t>
      </w:r>
      <w:r w:rsidRPr="009A2AEF">
        <w:rPr>
          <w:rFonts w:eastAsia="仿宋_GB2312"/>
          <w:bCs/>
          <w:sz w:val="28"/>
          <w:szCs w:val="28"/>
          <w:lang w:val="en-US"/>
        </w:rPr>
        <w:t xml:space="preserve">. The funds currently being raised by the Company include: Intelligent Transportation Fund (Fund of the Great Bay Area of Guangdong, Hong Kong, Macao), ARM Semiconductor Investment Fund, Pet Fund (listed company has announced the establishment of the fund with the Company), Healthcare Fund, Big Data Fund. </w:t>
      </w:r>
    </w:p>
    <w:p w14:paraId="1FE560A3" w14:textId="2EBC5F20" w:rsidR="00C569F6" w:rsidRPr="009A2AEF" w:rsidRDefault="00B905AE" w:rsidP="009A2AEF">
      <w:pPr>
        <w:spacing w:line="360" w:lineRule="auto"/>
        <w:jc w:val="both"/>
        <w:rPr>
          <w:rFonts w:eastAsia="仿宋_GB2312"/>
          <w:bCs/>
          <w:sz w:val="28"/>
          <w:szCs w:val="28"/>
          <w:lang w:val="en-US"/>
        </w:rPr>
      </w:pPr>
      <w:r>
        <w:rPr>
          <w:rFonts w:eastAsia="仿宋_GB2312"/>
          <w:bCs/>
          <w:sz w:val="28"/>
          <w:szCs w:val="28"/>
          <w:lang w:val="en-US"/>
        </w:rPr>
        <w:lastRenderedPageBreak/>
        <w:t>P</w:t>
      </w:r>
      <w:r w:rsidR="00C569F6" w:rsidRPr="009A2AEF">
        <w:rPr>
          <w:rFonts w:eastAsia="仿宋_GB2312"/>
          <w:bCs/>
          <w:sz w:val="28"/>
          <w:szCs w:val="28"/>
          <w:lang w:val="en-US"/>
        </w:rPr>
        <w:t xml:space="preserve">ost-investment management </w:t>
      </w:r>
      <w:r>
        <w:rPr>
          <w:rFonts w:eastAsia="仿宋_GB2312"/>
          <w:bCs/>
          <w:sz w:val="28"/>
          <w:szCs w:val="28"/>
          <w:lang w:val="en-US"/>
        </w:rPr>
        <w:t>will focus on</w:t>
      </w:r>
      <w:r w:rsidR="00C569F6" w:rsidRPr="009A2AEF">
        <w:rPr>
          <w:rFonts w:eastAsia="仿宋_GB2312"/>
          <w:bCs/>
          <w:sz w:val="28"/>
          <w:szCs w:val="28"/>
          <w:lang w:val="en-US"/>
        </w:rPr>
        <w:t xml:space="preserve">: </w:t>
      </w:r>
      <w:r>
        <w:rPr>
          <w:rFonts w:eastAsia="仿宋_GB2312"/>
          <w:bCs/>
          <w:sz w:val="28"/>
          <w:szCs w:val="28"/>
          <w:lang w:val="en-US"/>
        </w:rPr>
        <w:t>(</w:t>
      </w:r>
      <w:proofErr w:type="spellStart"/>
      <w:r>
        <w:rPr>
          <w:rFonts w:eastAsia="仿宋_GB2312"/>
          <w:bCs/>
          <w:sz w:val="28"/>
          <w:szCs w:val="28"/>
          <w:lang w:val="en-US"/>
        </w:rPr>
        <w:t>i</w:t>
      </w:r>
      <w:proofErr w:type="spellEnd"/>
      <w:r>
        <w:rPr>
          <w:rFonts w:eastAsia="仿宋_GB2312"/>
          <w:bCs/>
          <w:sz w:val="28"/>
          <w:szCs w:val="28"/>
          <w:lang w:val="en-US"/>
        </w:rPr>
        <w:t>)</w:t>
      </w:r>
      <w:r w:rsidR="00C569F6" w:rsidRPr="009A2AEF">
        <w:rPr>
          <w:rFonts w:eastAsia="仿宋_GB2312"/>
          <w:bCs/>
          <w:sz w:val="28"/>
          <w:szCs w:val="28"/>
          <w:lang w:val="en-US"/>
        </w:rPr>
        <w:t xml:space="preserve"> CATL </w:t>
      </w:r>
      <w:r>
        <w:rPr>
          <w:rFonts w:eastAsia="仿宋_GB2312"/>
          <w:bCs/>
          <w:sz w:val="28"/>
          <w:szCs w:val="28"/>
          <w:lang w:val="en-US"/>
        </w:rPr>
        <w:t>exit upon expiration of lock-up and distribution</w:t>
      </w:r>
      <w:r w:rsidR="00C569F6" w:rsidRPr="009A2AEF">
        <w:rPr>
          <w:rFonts w:eastAsia="仿宋_GB2312"/>
          <w:bCs/>
          <w:sz w:val="28"/>
          <w:szCs w:val="28"/>
          <w:lang w:val="en-US"/>
        </w:rPr>
        <w:t xml:space="preserve">s </w:t>
      </w:r>
      <w:r>
        <w:rPr>
          <w:rFonts w:eastAsia="仿宋_GB2312"/>
          <w:bCs/>
          <w:sz w:val="28"/>
          <w:szCs w:val="28"/>
          <w:lang w:val="en-US"/>
        </w:rPr>
        <w:t>to</w:t>
      </w:r>
      <w:r w:rsidRPr="009A2AEF">
        <w:rPr>
          <w:rFonts w:eastAsia="仿宋_GB2312"/>
          <w:bCs/>
          <w:sz w:val="28"/>
          <w:szCs w:val="28"/>
          <w:lang w:val="en-US"/>
        </w:rPr>
        <w:t xml:space="preserve"> </w:t>
      </w:r>
      <w:r w:rsidR="00C569F6" w:rsidRPr="009A2AEF">
        <w:rPr>
          <w:rFonts w:eastAsia="仿宋_GB2312"/>
          <w:bCs/>
          <w:sz w:val="28"/>
          <w:szCs w:val="28"/>
          <w:lang w:val="en-US"/>
        </w:rPr>
        <w:t xml:space="preserve">investors and shareholders; </w:t>
      </w:r>
      <w:r w:rsidR="00F64DA0">
        <w:rPr>
          <w:rFonts w:eastAsia="仿宋_GB2312"/>
          <w:bCs/>
          <w:sz w:val="28"/>
          <w:szCs w:val="28"/>
          <w:lang w:val="en-US"/>
        </w:rPr>
        <w:t>(ii)</w:t>
      </w:r>
      <w:r w:rsidR="00C569F6" w:rsidRPr="009A2AEF">
        <w:rPr>
          <w:rFonts w:eastAsia="仿宋_GB2312"/>
          <w:bCs/>
          <w:sz w:val="28"/>
          <w:szCs w:val="28"/>
          <w:lang w:val="en-US"/>
        </w:rPr>
        <w:t xml:space="preserve"> </w:t>
      </w:r>
      <w:r w:rsidR="00F64DA0" w:rsidRPr="009A2AEF">
        <w:rPr>
          <w:rFonts w:eastAsia="仿宋_GB2312"/>
          <w:bCs/>
          <w:sz w:val="28"/>
          <w:szCs w:val="28"/>
          <w:lang w:val="en-US"/>
        </w:rPr>
        <w:t>coordinat</w:t>
      </w:r>
      <w:r w:rsidR="00F64DA0">
        <w:rPr>
          <w:rFonts w:eastAsia="仿宋_GB2312"/>
          <w:bCs/>
          <w:sz w:val="28"/>
          <w:szCs w:val="28"/>
          <w:lang w:val="en-US"/>
        </w:rPr>
        <w:t>ing</w:t>
      </w:r>
      <w:r w:rsidR="00F64DA0" w:rsidRPr="009A2AEF">
        <w:rPr>
          <w:rFonts w:eastAsia="仿宋_GB2312"/>
          <w:bCs/>
          <w:sz w:val="28"/>
          <w:szCs w:val="28"/>
          <w:lang w:val="en-US"/>
        </w:rPr>
        <w:t xml:space="preserve"> </w:t>
      </w:r>
      <w:r w:rsidR="00C569F6" w:rsidRPr="009A2AEF">
        <w:rPr>
          <w:rFonts w:eastAsia="仿宋_GB2312"/>
          <w:bCs/>
          <w:sz w:val="28"/>
          <w:szCs w:val="28"/>
          <w:lang w:val="en-US"/>
        </w:rPr>
        <w:t xml:space="preserve">with AVIC </w:t>
      </w:r>
      <w:r w:rsidR="00F64DA0">
        <w:rPr>
          <w:rFonts w:eastAsia="仿宋_GB2312"/>
          <w:bCs/>
          <w:sz w:val="28"/>
          <w:szCs w:val="28"/>
          <w:lang w:val="en-US"/>
        </w:rPr>
        <w:t>to</w:t>
      </w:r>
      <w:r w:rsidR="00C569F6" w:rsidRPr="009A2AEF">
        <w:rPr>
          <w:rFonts w:eastAsia="仿宋_GB2312"/>
          <w:bCs/>
          <w:sz w:val="28"/>
          <w:szCs w:val="28"/>
          <w:lang w:val="en-US"/>
        </w:rPr>
        <w:t xml:space="preserve"> </w:t>
      </w:r>
      <w:r w:rsidR="00F64DA0">
        <w:rPr>
          <w:rFonts w:eastAsia="仿宋_GB2312"/>
          <w:bCs/>
          <w:sz w:val="28"/>
          <w:szCs w:val="28"/>
          <w:lang w:val="en-US"/>
        </w:rPr>
        <w:t>formulate an action plan on</w:t>
      </w:r>
      <w:r w:rsidR="00C569F6" w:rsidRPr="009A2AEF">
        <w:rPr>
          <w:rFonts w:eastAsia="仿宋_GB2312"/>
          <w:bCs/>
          <w:sz w:val="28"/>
          <w:szCs w:val="28"/>
          <w:lang w:val="en-US"/>
        </w:rPr>
        <w:t xml:space="preserve"> </w:t>
      </w:r>
      <w:proofErr w:type="spellStart"/>
      <w:r w:rsidR="00C569F6" w:rsidRPr="009A2AEF">
        <w:rPr>
          <w:rFonts w:eastAsia="仿宋_GB2312"/>
          <w:bCs/>
          <w:sz w:val="28"/>
          <w:szCs w:val="28"/>
          <w:lang w:val="en-US"/>
        </w:rPr>
        <w:t>Henniges</w:t>
      </w:r>
      <w:proofErr w:type="spellEnd"/>
      <w:r w:rsidR="00C569F6" w:rsidRPr="009A2AEF">
        <w:rPr>
          <w:rFonts w:eastAsia="仿宋_GB2312"/>
          <w:bCs/>
          <w:sz w:val="28"/>
          <w:szCs w:val="28"/>
          <w:lang w:val="en-US"/>
        </w:rPr>
        <w:t xml:space="preserve"> </w:t>
      </w:r>
      <w:r w:rsidR="00F64DA0">
        <w:rPr>
          <w:rFonts w:eastAsia="仿宋_GB2312"/>
          <w:bCs/>
          <w:sz w:val="28"/>
          <w:szCs w:val="28"/>
          <w:lang w:val="en-US"/>
        </w:rPr>
        <w:t>exit options</w:t>
      </w:r>
      <w:r w:rsidR="00C569F6" w:rsidRPr="009A2AEF">
        <w:rPr>
          <w:rFonts w:eastAsia="仿宋_GB2312"/>
          <w:bCs/>
          <w:sz w:val="28"/>
          <w:szCs w:val="28"/>
          <w:lang w:val="en-US"/>
        </w:rPr>
        <w:t>.</w:t>
      </w:r>
    </w:p>
    <w:p w14:paraId="47F610DE" w14:textId="56247DD7" w:rsidR="00305BFF" w:rsidRDefault="00305BFF">
      <w:pPr>
        <w:rPr>
          <w:sz w:val="28"/>
          <w:szCs w:val="28"/>
        </w:rPr>
      </w:pPr>
      <w:r>
        <w:rPr>
          <w:sz w:val="28"/>
          <w:szCs w:val="28"/>
        </w:rPr>
        <w:br w:type="page"/>
      </w:r>
    </w:p>
    <w:p w14:paraId="2BBA279B" w14:textId="77777777" w:rsidR="005473D9" w:rsidRPr="001100D8" w:rsidRDefault="005473D9" w:rsidP="005473D9">
      <w:pPr>
        <w:spacing w:line="360" w:lineRule="auto"/>
        <w:jc w:val="center"/>
        <w:rPr>
          <w:b/>
          <w:sz w:val="28"/>
          <w:szCs w:val="28"/>
          <w:lang w:val="en-US"/>
        </w:rPr>
      </w:pPr>
      <w:r>
        <w:rPr>
          <w:rFonts w:hint="eastAsia"/>
          <w:b/>
          <w:sz w:val="28"/>
          <w:szCs w:val="28"/>
          <w:lang w:val="en-US"/>
        </w:rPr>
        <w:lastRenderedPageBreak/>
        <w:t>201</w:t>
      </w:r>
      <w:r>
        <w:rPr>
          <w:b/>
          <w:sz w:val="28"/>
          <w:szCs w:val="28"/>
          <w:lang w:val="en-US"/>
        </w:rPr>
        <w:t>8</w:t>
      </w:r>
      <w:r>
        <w:rPr>
          <w:rFonts w:hint="eastAsia"/>
          <w:b/>
          <w:sz w:val="28"/>
          <w:szCs w:val="28"/>
          <w:lang w:val="en-US"/>
        </w:rPr>
        <w:t xml:space="preserve"> </w:t>
      </w:r>
      <w:r>
        <w:rPr>
          <w:b/>
          <w:sz w:val="28"/>
          <w:szCs w:val="28"/>
          <w:lang w:val="en-US"/>
        </w:rPr>
        <w:t>Financial</w:t>
      </w:r>
      <w:r>
        <w:rPr>
          <w:rFonts w:hint="eastAsia"/>
          <w:b/>
          <w:sz w:val="28"/>
          <w:szCs w:val="28"/>
          <w:lang w:val="en-US"/>
        </w:rPr>
        <w:t xml:space="preserve"> </w:t>
      </w:r>
      <w:r w:rsidRPr="001100D8">
        <w:rPr>
          <w:rFonts w:hint="eastAsia"/>
          <w:b/>
          <w:sz w:val="28"/>
          <w:szCs w:val="28"/>
          <w:lang w:val="en-US"/>
        </w:rPr>
        <w:t>Report</w:t>
      </w:r>
      <w:r>
        <w:rPr>
          <w:b/>
          <w:sz w:val="28"/>
          <w:szCs w:val="28"/>
          <w:lang w:val="en-US"/>
        </w:rPr>
        <w:t>s</w:t>
      </w:r>
      <w:r>
        <w:rPr>
          <w:rFonts w:hint="eastAsia"/>
          <w:b/>
          <w:sz w:val="28"/>
          <w:szCs w:val="28"/>
          <w:lang w:val="en-US"/>
        </w:rPr>
        <w:t xml:space="preserve"> and 201</w:t>
      </w:r>
      <w:r>
        <w:rPr>
          <w:b/>
          <w:sz w:val="28"/>
          <w:szCs w:val="28"/>
          <w:lang w:val="en-US"/>
        </w:rPr>
        <w:t>9</w:t>
      </w:r>
      <w:r w:rsidRPr="001100D8">
        <w:rPr>
          <w:b/>
          <w:sz w:val="28"/>
          <w:szCs w:val="28"/>
          <w:lang w:val="en-US"/>
        </w:rPr>
        <w:t xml:space="preserve"> Annual </w:t>
      </w:r>
      <w:r w:rsidRPr="001100D8">
        <w:rPr>
          <w:rFonts w:hint="eastAsia"/>
          <w:b/>
          <w:sz w:val="28"/>
          <w:szCs w:val="28"/>
          <w:lang w:val="en-US"/>
        </w:rPr>
        <w:t>Budget</w:t>
      </w:r>
    </w:p>
    <w:p w14:paraId="1F8E291F" w14:textId="1D1AFAB0" w:rsidR="005473D9" w:rsidRPr="009A2AEF" w:rsidRDefault="00BC30AF" w:rsidP="005473D9">
      <w:pPr>
        <w:spacing w:line="360" w:lineRule="auto"/>
        <w:jc w:val="both"/>
        <w:rPr>
          <w:rFonts w:eastAsia="仿宋_GB2312"/>
          <w:bCs/>
          <w:sz w:val="28"/>
          <w:szCs w:val="28"/>
          <w:lang w:val="en-US"/>
        </w:rPr>
      </w:pPr>
      <w:r>
        <w:rPr>
          <w:rFonts w:eastAsia="仿宋_GB2312"/>
          <w:bCs/>
          <w:sz w:val="28"/>
          <w:szCs w:val="28"/>
          <w:lang w:val="en-US"/>
        </w:rPr>
        <w:t>I</w:t>
      </w:r>
      <w:r w:rsidR="005473D9" w:rsidRPr="009A2AEF">
        <w:rPr>
          <w:rFonts w:eastAsia="仿宋_GB2312"/>
          <w:bCs/>
          <w:sz w:val="28"/>
          <w:szCs w:val="28"/>
          <w:lang w:val="en-US"/>
        </w:rPr>
        <w:t xml:space="preserve">ncluding the </w:t>
      </w:r>
      <w:r>
        <w:rPr>
          <w:rFonts w:eastAsia="仿宋_GB2312"/>
          <w:bCs/>
          <w:sz w:val="28"/>
          <w:szCs w:val="28"/>
          <w:lang w:val="en-US"/>
        </w:rPr>
        <w:t>closing</w:t>
      </w:r>
      <w:r w:rsidRPr="009A2AEF">
        <w:rPr>
          <w:rFonts w:eastAsia="仿宋_GB2312"/>
          <w:bCs/>
          <w:sz w:val="28"/>
          <w:szCs w:val="28"/>
          <w:lang w:val="en-US"/>
        </w:rPr>
        <w:t xml:space="preserve"> </w:t>
      </w:r>
      <w:r w:rsidR="005473D9" w:rsidRPr="009A2AEF">
        <w:rPr>
          <w:rFonts w:eastAsia="仿宋_GB2312"/>
          <w:bCs/>
          <w:sz w:val="28"/>
          <w:szCs w:val="28"/>
          <w:lang w:val="en-US"/>
        </w:rPr>
        <w:t>of</w:t>
      </w:r>
      <w:r w:rsidR="00E72386" w:rsidRPr="009A2AEF">
        <w:rPr>
          <w:rFonts w:eastAsia="仿宋_GB2312"/>
          <w:bCs/>
          <w:sz w:val="28"/>
          <w:szCs w:val="28"/>
          <w:lang w:val="en-US"/>
        </w:rPr>
        <w:t xml:space="preserve"> </w:t>
      </w:r>
      <w:r w:rsidR="005473D9" w:rsidRPr="009A2AEF">
        <w:rPr>
          <w:rFonts w:eastAsia="仿宋_GB2312"/>
          <w:bCs/>
          <w:sz w:val="28"/>
          <w:szCs w:val="28"/>
          <w:lang w:val="en-US"/>
        </w:rPr>
        <w:t xml:space="preserve">West Dairy </w:t>
      </w:r>
      <w:r>
        <w:rPr>
          <w:rFonts w:eastAsia="仿宋_GB2312"/>
          <w:bCs/>
          <w:sz w:val="28"/>
          <w:szCs w:val="28"/>
          <w:lang w:val="en-US"/>
        </w:rPr>
        <w:t xml:space="preserve">acquisition </w:t>
      </w:r>
      <w:r w:rsidR="005473D9" w:rsidRPr="009A2AEF">
        <w:rPr>
          <w:rFonts w:eastAsia="仿宋_GB2312"/>
          <w:bCs/>
          <w:sz w:val="28"/>
          <w:szCs w:val="28"/>
          <w:lang w:val="en-US"/>
        </w:rPr>
        <w:t>in 2018, the Company has delivered a total of 12 deal closings. The Company has accumulated assets under management of RMB 16.4 billion</w:t>
      </w:r>
      <w:r w:rsidR="00357649">
        <w:rPr>
          <w:rFonts w:eastAsia="仿宋_GB2312"/>
          <w:bCs/>
          <w:sz w:val="28"/>
          <w:szCs w:val="28"/>
          <w:lang w:val="en-US"/>
        </w:rPr>
        <w:t>.  C</w:t>
      </w:r>
      <w:r w:rsidR="005473D9" w:rsidRPr="009A2AEF">
        <w:rPr>
          <w:rFonts w:eastAsia="仿宋_GB2312"/>
          <w:bCs/>
          <w:sz w:val="28"/>
          <w:szCs w:val="28"/>
          <w:lang w:val="en-US"/>
        </w:rPr>
        <w:t xml:space="preserve">urrent assets under management </w:t>
      </w:r>
      <w:r w:rsidR="00357649">
        <w:rPr>
          <w:rFonts w:eastAsia="仿宋_GB2312"/>
          <w:bCs/>
          <w:sz w:val="28"/>
          <w:szCs w:val="28"/>
          <w:lang w:val="en-US"/>
        </w:rPr>
        <w:t>account</w:t>
      </w:r>
      <w:r w:rsidR="00357649" w:rsidRPr="009A2AEF">
        <w:rPr>
          <w:rFonts w:eastAsia="仿宋_GB2312"/>
          <w:bCs/>
          <w:sz w:val="28"/>
          <w:szCs w:val="28"/>
          <w:lang w:val="en-US"/>
        </w:rPr>
        <w:t xml:space="preserve"> </w:t>
      </w:r>
      <w:r w:rsidR="005473D9" w:rsidRPr="009A2AEF">
        <w:rPr>
          <w:rFonts w:eastAsia="仿宋_GB2312"/>
          <w:bCs/>
          <w:sz w:val="28"/>
          <w:szCs w:val="28"/>
          <w:lang w:val="en-US"/>
        </w:rPr>
        <w:t>RMB 14.2 billion</w:t>
      </w:r>
      <w:r w:rsidR="00C13E6D">
        <w:rPr>
          <w:rFonts w:eastAsia="仿宋_GB2312"/>
          <w:bCs/>
          <w:sz w:val="28"/>
          <w:szCs w:val="28"/>
          <w:lang w:val="en-US"/>
        </w:rPr>
        <w:t xml:space="preserve">, of which RMB </w:t>
      </w:r>
      <w:r w:rsidR="00357649">
        <w:rPr>
          <w:rFonts w:eastAsia="仿宋_GB2312"/>
          <w:bCs/>
          <w:sz w:val="28"/>
          <w:szCs w:val="28"/>
          <w:lang w:val="en-US"/>
        </w:rPr>
        <w:t>6.</w:t>
      </w:r>
      <w:r w:rsidR="001142E1">
        <w:rPr>
          <w:rFonts w:eastAsia="仿宋_GB2312"/>
          <w:bCs/>
          <w:sz w:val="28"/>
          <w:szCs w:val="28"/>
          <w:lang w:val="en-US"/>
        </w:rPr>
        <w:t>7</w:t>
      </w:r>
      <w:r w:rsidR="00C13E6D">
        <w:rPr>
          <w:rFonts w:eastAsia="仿宋_GB2312"/>
          <w:bCs/>
          <w:sz w:val="28"/>
          <w:szCs w:val="28"/>
          <w:lang w:val="en-US"/>
        </w:rPr>
        <w:t xml:space="preserve"> billion are</w:t>
      </w:r>
      <w:r w:rsidR="00357649">
        <w:rPr>
          <w:rFonts w:eastAsia="仿宋_GB2312"/>
          <w:bCs/>
          <w:sz w:val="28"/>
          <w:szCs w:val="28"/>
          <w:lang w:val="en-US"/>
        </w:rPr>
        <w:t xml:space="preserve"> currently</w:t>
      </w:r>
      <w:r w:rsidR="00C13E6D">
        <w:rPr>
          <w:rFonts w:eastAsia="仿宋_GB2312"/>
          <w:bCs/>
          <w:sz w:val="28"/>
          <w:szCs w:val="28"/>
          <w:lang w:val="en-US"/>
        </w:rPr>
        <w:t xml:space="preserve"> actively managed by BHR entities (others are </w:t>
      </w:r>
      <w:r w:rsidR="00357649">
        <w:rPr>
          <w:rFonts w:eastAsia="仿宋_GB2312"/>
          <w:bCs/>
          <w:sz w:val="28"/>
          <w:szCs w:val="28"/>
          <w:lang w:val="en-US"/>
        </w:rPr>
        <w:t>channel businesses)</w:t>
      </w:r>
      <w:r w:rsidR="005473D9" w:rsidRPr="009A2AEF">
        <w:rPr>
          <w:rFonts w:eastAsia="仿宋_GB2312"/>
          <w:bCs/>
          <w:sz w:val="28"/>
          <w:szCs w:val="28"/>
          <w:lang w:val="en-US"/>
        </w:rPr>
        <w:t xml:space="preserve">. </w:t>
      </w:r>
      <w:r w:rsidR="002050E8">
        <w:rPr>
          <w:rFonts w:eastAsia="仿宋_GB2312"/>
          <w:bCs/>
          <w:sz w:val="28"/>
          <w:szCs w:val="28"/>
          <w:lang w:val="en-US"/>
        </w:rPr>
        <w:t xml:space="preserve"> </w:t>
      </w:r>
    </w:p>
    <w:p w14:paraId="2BCC4C80" w14:textId="14150B01" w:rsidR="005473D9" w:rsidRPr="009A2AEF" w:rsidRDefault="005473D9" w:rsidP="005473D9">
      <w:pPr>
        <w:spacing w:line="360" w:lineRule="auto"/>
        <w:jc w:val="both"/>
        <w:rPr>
          <w:rFonts w:eastAsia="仿宋_GB2312"/>
          <w:bCs/>
          <w:sz w:val="28"/>
          <w:szCs w:val="28"/>
          <w:lang w:val="en-US"/>
        </w:rPr>
      </w:pPr>
      <w:r w:rsidRPr="009A2AEF">
        <w:rPr>
          <w:rFonts w:eastAsia="仿宋_GB2312"/>
          <w:bCs/>
          <w:sz w:val="28"/>
          <w:szCs w:val="28"/>
          <w:lang w:val="en-US"/>
        </w:rPr>
        <w:t xml:space="preserve">In 2018, the Company's </w:t>
      </w:r>
      <w:r w:rsidR="00755813">
        <w:rPr>
          <w:rFonts w:eastAsia="仿宋_GB2312"/>
          <w:bCs/>
          <w:sz w:val="28"/>
          <w:szCs w:val="28"/>
          <w:lang w:val="en-US"/>
        </w:rPr>
        <w:t xml:space="preserve">collected </w:t>
      </w:r>
      <w:r w:rsidRPr="009A2AEF">
        <w:rPr>
          <w:rFonts w:eastAsia="仿宋_GB2312"/>
          <w:bCs/>
          <w:sz w:val="28"/>
          <w:szCs w:val="28"/>
          <w:lang w:val="en-US"/>
        </w:rPr>
        <w:t xml:space="preserve">management fees </w:t>
      </w:r>
      <w:r w:rsidR="00755813">
        <w:rPr>
          <w:rFonts w:eastAsia="仿宋_GB2312"/>
          <w:bCs/>
          <w:sz w:val="28"/>
          <w:szCs w:val="28"/>
          <w:lang w:val="en-US"/>
        </w:rPr>
        <w:t>of</w:t>
      </w:r>
      <w:r w:rsidR="00755813" w:rsidRPr="009A2AEF">
        <w:rPr>
          <w:rFonts w:eastAsia="仿宋_GB2312"/>
          <w:bCs/>
          <w:sz w:val="28"/>
          <w:szCs w:val="28"/>
          <w:lang w:val="en-US"/>
        </w:rPr>
        <w:t xml:space="preserve"> </w:t>
      </w:r>
      <w:r w:rsidRPr="009A2AEF">
        <w:rPr>
          <w:rFonts w:eastAsia="仿宋_GB2312"/>
          <w:bCs/>
          <w:sz w:val="28"/>
          <w:szCs w:val="28"/>
          <w:lang w:val="en-US"/>
        </w:rPr>
        <w:t xml:space="preserve">RMB 68.01 million; </w:t>
      </w:r>
      <w:r w:rsidR="00755813">
        <w:rPr>
          <w:rFonts w:eastAsia="仿宋_GB2312"/>
          <w:bCs/>
          <w:sz w:val="28"/>
          <w:szCs w:val="28"/>
          <w:lang w:val="en-US"/>
        </w:rPr>
        <w:t>incurred</w:t>
      </w:r>
      <w:r w:rsidR="00755813" w:rsidRPr="009A2AEF">
        <w:rPr>
          <w:rFonts w:eastAsia="仿宋_GB2312"/>
          <w:bCs/>
          <w:sz w:val="28"/>
          <w:szCs w:val="28"/>
          <w:lang w:val="en-US"/>
        </w:rPr>
        <w:t xml:space="preserve"> </w:t>
      </w:r>
      <w:r w:rsidRPr="009A2AEF">
        <w:rPr>
          <w:rFonts w:eastAsia="仿宋_GB2312"/>
          <w:bCs/>
          <w:sz w:val="28"/>
          <w:szCs w:val="28"/>
          <w:lang w:val="en-US"/>
        </w:rPr>
        <w:t xml:space="preserve">operating cost </w:t>
      </w:r>
      <w:r w:rsidR="00755813">
        <w:rPr>
          <w:rFonts w:eastAsia="仿宋_GB2312"/>
          <w:bCs/>
          <w:sz w:val="28"/>
          <w:szCs w:val="28"/>
          <w:lang w:val="en-US"/>
        </w:rPr>
        <w:t>of</w:t>
      </w:r>
      <w:r w:rsidR="00755813" w:rsidRPr="009A2AEF">
        <w:rPr>
          <w:rFonts w:eastAsia="仿宋_GB2312"/>
          <w:bCs/>
          <w:sz w:val="28"/>
          <w:szCs w:val="28"/>
          <w:lang w:val="en-US"/>
        </w:rPr>
        <w:t xml:space="preserve"> </w:t>
      </w:r>
      <w:r w:rsidRPr="009A2AEF">
        <w:rPr>
          <w:rFonts w:eastAsia="仿宋_GB2312"/>
          <w:bCs/>
          <w:sz w:val="28"/>
          <w:szCs w:val="28"/>
          <w:lang w:val="en-US"/>
        </w:rPr>
        <w:t xml:space="preserve">RMB 65.62 million, including payroll expenses of RMB 28.91 million (fixed salary plus employee benefits, excluding bonuses), interest payment </w:t>
      </w:r>
      <w:r w:rsidR="00755813">
        <w:rPr>
          <w:rFonts w:eastAsia="仿宋_GB2312"/>
          <w:bCs/>
          <w:sz w:val="28"/>
          <w:szCs w:val="28"/>
          <w:lang w:val="en-US"/>
        </w:rPr>
        <w:t xml:space="preserve">to Bank of China under Project </w:t>
      </w:r>
      <w:r w:rsidR="00102190">
        <w:rPr>
          <w:rFonts w:eastAsia="仿宋_GB2312"/>
          <w:bCs/>
          <w:sz w:val="28"/>
          <w:szCs w:val="28"/>
          <w:lang w:val="en-US"/>
        </w:rPr>
        <w:t>Hanson</w:t>
      </w:r>
      <w:r w:rsidR="00755813">
        <w:rPr>
          <w:rFonts w:eastAsia="仿宋_GB2312"/>
          <w:bCs/>
          <w:sz w:val="28"/>
          <w:szCs w:val="28"/>
          <w:lang w:val="en-US"/>
        </w:rPr>
        <w:t xml:space="preserve"> </w:t>
      </w:r>
      <w:r w:rsidRPr="009A2AEF">
        <w:rPr>
          <w:rFonts w:eastAsia="仿宋_GB2312"/>
          <w:bCs/>
          <w:sz w:val="28"/>
          <w:szCs w:val="28"/>
          <w:lang w:val="en-US"/>
        </w:rPr>
        <w:t>of RMB19.80 million, and other operating cost of RMB 16.91 million</w:t>
      </w:r>
      <w:r w:rsidR="00344437">
        <w:rPr>
          <w:rFonts w:eastAsia="仿宋_GB2312"/>
          <w:bCs/>
          <w:sz w:val="28"/>
          <w:szCs w:val="28"/>
          <w:lang w:val="en-US"/>
        </w:rPr>
        <w:t>.</w:t>
      </w:r>
      <w:r w:rsidR="00344437" w:rsidRPr="009A2AEF">
        <w:rPr>
          <w:rFonts w:eastAsia="仿宋_GB2312"/>
          <w:bCs/>
          <w:sz w:val="28"/>
          <w:szCs w:val="28"/>
          <w:lang w:val="en-US"/>
        </w:rPr>
        <w:t xml:space="preserve"> </w:t>
      </w:r>
      <w:r w:rsidR="00344437">
        <w:rPr>
          <w:rFonts w:eastAsia="仿宋_GB2312"/>
          <w:bCs/>
          <w:sz w:val="28"/>
          <w:szCs w:val="28"/>
          <w:lang w:val="en-US"/>
        </w:rPr>
        <w:t>The</w:t>
      </w:r>
      <w:r w:rsidRPr="009A2AEF">
        <w:rPr>
          <w:rFonts w:eastAsia="仿宋_GB2312"/>
          <w:bCs/>
          <w:sz w:val="28"/>
          <w:szCs w:val="28"/>
          <w:lang w:val="en-US"/>
        </w:rPr>
        <w:t xml:space="preserve"> Company can realize a net operating profit of RMB 2.36 million </w:t>
      </w:r>
      <w:r w:rsidR="00344437">
        <w:rPr>
          <w:rFonts w:eastAsia="仿宋_GB2312"/>
          <w:bCs/>
          <w:sz w:val="28"/>
          <w:szCs w:val="28"/>
          <w:lang w:val="en-US"/>
        </w:rPr>
        <w:t>for</w:t>
      </w:r>
      <w:r w:rsidRPr="009A2AEF">
        <w:rPr>
          <w:rFonts w:eastAsia="仿宋_GB2312"/>
          <w:bCs/>
          <w:sz w:val="28"/>
          <w:szCs w:val="28"/>
          <w:lang w:val="en-US"/>
        </w:rPr>
        <w:t xml:space="preserve"> 2018.</w:t>
      </w:r>
    </w:p>
    <w:p w14:paraId="579F93DB" w14:textId="03B834DB" w:rsidR="005473D9" w:rsidRPr="009A2AEF" w:rsidRDefault="005473D9" w:rsidP="005473D9">
      <w:pPr>
        <w:spacing w:line="360" w:lineRule="auto"/>
        <w:jc w:val="both"/>
        <w:rPr>
          <w:rFonts w:eastAsia="仿宋_GB2312"/>
          <w:bCs/>
          <w:sz w:val="28"/>
          <w:szCs w:val="28"/>
          <w:lang w:val="en-US"/>
        </w:rPr>
      </w:pPr>
      <w:r w:rsidRPr="009A2AEF">
        <w:rPr>
          <w:rFonts w:eastAsia="仿宋_GB2312"/>
          <w:bCs/>
          <w:sz w:val="28"/>
          <w:szCs w:val="28"/>
          <w:lang w:val="en-US"/>
        </w:rPr>
        <w:t>For 2019, the total amount of management fee income</w:t>
      </w:r>
      <w:r w:rsidR="0025502D">
        <w:rPr>
          <w:rFonts w:eastAsia="仿宋_GB2312"/>
          <w:bCs/>
          <w:sz w:val="28"/>
          <w:szCs w:val="28"/>
          <w:lang w:val="en-US"/>
        </w:rPr>
        <w:t xml:space="preserve"> on existing projects</w:t>
      </w:r>
      <w:r w:rsidRPr="009A2AEF">
        <w:rPr>
          <w:rFonts w:eastAsia="仿宋_GB2312"/>
          <w:bCs/>
          <w:sz w:val="28"/>
          <w:szCs w:val="28"/>
          <w:lang w:val="en-US"/>
        </w:rPr>
        <w:t xml:space="preserve"> and </w:t>
      </w:r>
      <w:r w:rsidR="00344437">
        <w:rPr>
          <w:rFonts w:eastAsia="仿宋_GB2312"/>
          <w:bCs/>
          <w:sz w:val="28"/>
          <w:szCs w:val="28"/>
          <w:lang w:val="en-US"/>
        </w:rPr>
        <w:t xml:space="preserve">CATL </w:t>
      </w:r>
      <w:r w:rsidRPr="009A2AEF">
        <w:rPr>
          <w:rFonts w:eastAsia="仿宋_GB2312"/>
          <w:bCs/>
          <w:sz w:val="28"/>
          <w:szCs w:val="28"/>
          <w:lang w:val="en-US"/>
        </w:rPr>
        <w:t>carry</w:t>
      </w:r>
      <w:r w:rsidR="0025502D">
        <w:rPr>
          <w:rFonts w:eastAsia="仿宋_GB2312"/>
          <w:bCs/>
          <w:sz w:val="28"/>
          <w:szCs w:val="28"/>
          <w:lang w:val="en-US"/>
        </w:rPr>
        <w:t xml:space="preserve"> (with certain exit pricing and timing assumptions) </w:t>
      </w:r>
      <w:r w:rsidRPr="009A2AEF">
        <w:rPr>
          <w:rFonts w:eastAsia="仿宋_GB2312"/>
          <w:bCs/>
          <w:sz w:val="28"/>
          <w:szCs w:val="28"/>
          <w:lang w:val="en-US"/>
        </w:rPr>
        <w:t>is</w:t>
      </w:r>
      <w:r w:rsidR="00344437">
        <w:rPr>
          <w:rFonts w:eastAsia="仿宋_GB2312"/>
          <w:bCs/>
          <w:sz w:val="28"/>
          <w:szCs w:val="28"/>
          <w:lang w:val="en-US"/>
        </w:rPr>
        <w:t xml:space="preserve"> expected to </w:t>
      </w:r>
      <w:r w:rsidR="0025502D">
        <w:rPr>
          <w:rFonts w:eastAsia="仿宋_GB2312"/>
          <w:bCs/>
          <w:sz w:val="28"/>
          <w:szCs w:val="28"/>
          <w:lang w:val="en-US"/>
        </w:rPr>
        <w:t>total</w:t>
      </w:r>
      <w:r w:rsidRPr="009A2AEF">
        <w:rPr>
          <w:rFonts w:eastAsia="仿宋_GB2312"/>
          <w:bCs/>
          <w:sz w:val="28"/>
          <w:szCs w:val="28"/>
          <w:lang w:val="en-US"/>
        </w:rPr>
        <w:t xml:space="preserve"> RMB 87.94 million, </w:t>
      </w:r>
      <w:r w:rsidR="0025502D">
        <w:rPr>
          <w:rFonts w:eastAsia="仿宋_GB2312"/>
          <w:bCs/>
          <w:sz w:val="28"/>
          <w:szCs w:val="28"/>
          <w:lang w:val="en-US"/>
        </w:rPr>
        <w:t xml:space="preserve">of which, </w:t>
      </w:r>
      <w:r w:rsidR="009C5C7A">
        <w:rPr>
          <w:rFonts w:eastAsia="仿宋_GB2312"/>
          <w:bCs/>
          <w:sz w:val="28"/>
          <w:szCs w:val="28"/>
          <w:lang w:val="en-US"/>
        </w:rPr>
        <w:t>(</w:t>
      </w:r>
      <w:proofErr w:type="spellStart"/>
      <w:r w:rsidR="009C5C7A">
        <w:rPr>
          <w:rFonts w:eastAsia="仿宋_GB2312"/>
          <w:bCs/>
          <w:sz w:val="28"/>
          <w:szCs w:val="28"/>
          <w:lang w:val="en-US"/>
        </w:rPr>
        <w:t>i</w:t>
      </w:r>
      <w:proofErr w:type="spellEnd"/>
      <w:r w:rsidR="009C5C7A">
        <w:rPr>
          <w:rFonts w:eastAsia="仿宋_GB2312"/>
          <w:bCs/>
          <w:sz w:val="28"/>
          <w:szCs w:val="28"/>
          <w:lang w:val="en-US"/>
        </w:rPr>
        <w:t xml:space="preserve">) </w:t>
      </w:r>
      <w:r w:rsidRPr="009A2AEF">
        <w:rPr>
          <w:rFonts w:eastAsia="仿宋_GB2312"/>
          <w:bCs/>
          <w:sz w:val="28"/>
          <w:szCs w:val="28"/>
          <w:lang w:val="en-US"/>
        </w:rPr>
        <w:t xml:space="preserve">management fee income </w:t>
      </w:r>
      <w:r w:rsidR="0025502D">
        <w:rPr>
          <w:rFonts w:eastAsia="仿宋_GB2312"/>
          <w:bCs/>
          <w:sz w:val="28"/>
          <w:szCs w:val="28"/>
          <w:lang w:val="en-US"/>
        </w:rPr>
        <w:t>will be</w:t>
      </w:r>
      <w:r w:rsidR="0025502D" w:rsidRPr="009A2AEF">
        <w:rPr>
          <w:rFonts w:eastAsia="仿宋_GB2312"/>
          <w:bCs/>
          <w:sz w:val="28"/>
          <w:szCs w:val="28"/>
          <w:lang w:val="en-US"/>
        </w:rPr>
        <w:t xml:space="preserve"> </w:t>
      </w:r>
      <w:r w:rsidRPr="009A2AEF">
        <w:rPr>
          <w:rFonts w:eastAsia="仿宋_GB2312"/>
          <w:bCs/>
          <w:sz w:val="28"/>
          <w:szCs w:val="28"/>
          <w:lang w:val="en-US"/>
        </w:rPr>
        <w:t>RMB 40.79</w:t>
      </w:r>
      <w:r w:rsidR="0025502D">
        <w:rPr>
          <w:rFonts w:eastAsia="仿宋_GB2312"/>
          <w:bCs/>
          <w:sz w:val="28"/>
          <w:szCs w:val="28"/>
          <w:lang w:val="en-US"/>
        </w:rPr>
        <w:t xml:space="preserve"> million (</w:t>
      </w:r>
      <w:r w:rsidRPr="009A2AEF">
        <w:rPr>
          <w:rFonts w:eastAsia="仿宋_GB2312"/>
          <w:bCs/>
          <w:sz w:val="28"/>
          <w:szCs w:val="28"/>
          <w:lang w:val="en-US"/>
        </w:rPr>
        <w:t>which</w:t>
      </w:r>
      <w:r w:rsidR="00E72386" w:rsidRPr="009A2AEF">
        <w:rPr>
          <w:rFonts w:eastAsia="仿宋_GB2312"/>
          <w:bCs/>
          <w:sz w:val="28"/>
          <w:szCs w:val="28"/>
          <w:lang w:val="en-US"/>
        </w:rPr>
        <w:t xml:space="preserve"> </w:t>
      </w:r>
      <w:r w:rsidR="0025502D">
        <w:rPr>
          <w:rFonts w:eastAsia="仿宋_GB2312"/>
          <w:bCs/>
          <w:sz w:val="28"/>
          <w:szCs w:val="28"/>
          <w:lang w:val="en-US"/>
        </w:rPr>
        <w:t xml:space="preserve">does not take into account the instructing bondholder fee of US$2.4 million which we have received from Project </w:t>
      </w:r>
      <w:proofErr w:type="spellStart"/>
      <w:r w:rsidR="0025502D">
        <w:rPr>
          <w:rFonts w:eastAsia="仿宋_GB2312"/>
          <w:bCs/>
          <w:sz w:val="28"/>
          <w:szCs w:val="28"/>
          <w:lang w:val="en-US"/>
        </w:rPr>
        <w:t>Yancoal</w:t>
      </w:r>
      <w:proofErr w:type="spellEnd"/>
      <w:r w:rsidR="0025502D">
        <w:rPr>
          <w:rFonts w:eastAsia="仿宋_GB2312"/>
          <w:bCs/>
          <w:sz w:val="28"/>
          <w:szCs w:val="28"/>
          <w:lang w:val="en-US"/>
        </w:rPr>
        <w:t xml:space="preserve"> </w:t>
      </w:r>
      <w:r w:rsidR="00BB1BF7">
        <w:rPr>
          <w:rFonts w:eastAsia="仿宋_GB2312"/>
          <w:bCs/>
          <w:sz w:val="28"/>
          <w:szCs w:val="28"/>
          <w:lang w:val="en-US"/>
        </w:rPr>
        <w:t>for the past three years as we await confirmation on whether the bonds will be put back to the issuer</w:t>
      </w:r>
      <w:r w:rsidR="00D02208">
        <w:rPr>
          <w:rFonts w:eastAsia="仿宋_GB2312"/>
          <w:bCs/>
          <w:sz w:val="28"/>
          <w:szCs w:val="28"/>
          <w:lang w:val="en-US"/>
        </w:rPr>
        <w:t>, if the put option is not exercised, we will continue to collect the annual bondholder fee of US$2.4 million</w:t>
      </w:r>
      <w:r w:rsidR="0025502D">
        <w:rPr>
          <w:rFonts w:eastAsia="仿宋_GB2312"/>
          <w:bCs/>
          <w:sz w:val="28"/>
          <w:szCs w:val="28"/>
          <w:lang w:val="en-US"/>
        </w:rPr>
        <w:t>)</w:t>
      </w:r>
      <w:r w:rsidR="009C5C7A">
        <w:rPr>
          <w:rFonts w:eastAsia="仿宋_GB2312"/>
          <w:bCs/>
          <w:sz w:val="28"/>
          <w:szCs w:val="28"/>
          <w:lang w:val="en-US"/>
        </w:rPr>
        <w:t xml:space="preserve">; and (ii) CATL carried interest will be </w:t>
      </w:r>
      <w:r w:rsidR="009C5C7A" w:rsidRPr="009A2AEF">
        <w:rPr>
          <w:rFonts w:eastAsia="仿宋_GB2312"/>
          <w:bCs/>
          <w:sz w:val="28"/>
          <w:szCs w:val="28"/>
          <w:lang w:val="en-US"/>
        </w:rPr>
        <w:t>RMB 47.15 million</w:t>
      </w:r>
      <w:r w:rsidR="009C5C7A">
        <w:rPr>
          <w:rFonts w:eastAsia="仿宋_GB2312"/>
          <w:bCs/>
          <w:sz w:val="28"/>
          <w:szCs w:val="28"/>
          <w:lang w:val="en-US"/>
        </w:rPr>
        <w:t xml:space="preserve"> </w:t>
      </w:r>
      <w:r w:rsidR="009C5C7A">
        <w:rPr>
          <w:rFonts w:eastAsia="仿宋_GB2312"/>
          <w:bCs/>
          <w:sz w:val="28"/>
          <w:szCs w:val="28"/>
          <w:lang w:val="en-US"/>
        </w:rPr>
        <w:lastRenderedPageBreak/>
        <w:t xml:space="preserve">assuming shares will be sold at </w:t>
      </w:r>
      <w:r w:rsidRPr="009A2AEF">
        <w:rPr>
          <w:rFonts w:eastAsia="仿宋_GB2312"/>
          <w:bCs/>
          <w:sz w:val="28"/>
          <w:szCs w:val="28"/>
          <w:lang w:val="en-US"/>
        </w:rPr>
        <w:t>RMB 70/share</w:t>
      </w:r>
      <w:r w:rsidR="009C5C7A">
        <w:rPr>
          <w:rFonts w:eastAsia="仿宋_GB2312"/>
          <w:bCs/>
          <w:sz w:val="28"/>
          <w:szCs w:val="28"/>
          <w:lang w:val="en-US"/>
        </w:rPr>
        <w:t xml:space="preserve"> and we are able to fully exit by the end of 2019</w:t>
      </w:r>
      <w:r w:rsidRPr="009A2AEF">
        <w:rPr>
          <w:rFonts w:eastAsia="仿宋_GB2312"/>
          <w:bCs/>
          <w:sz w:val="28"/>
          <w:szCs w:val="28"/>
          <w:lang w:val="en-US"/>
        </w:rPr>
        <w:t>.</w:t>
      </w:r>
    </w:p>
    <w:p w14:paraId="14A5244B" w14:textId="26BABE46" w:rsidR="006D44C5" w:rsidRPr="009A2AEF" w:rsidRDefault="006D6CDC" w:rsidP="005473D9">
      <w:pPr>
        <w:spacing w:line="360" w:lineRule="auto"/>
        <w:jc w:val="both"/>
        <w:rPr>
          <w:rFonts w:eastAsia="仿宋_GB2312"/>
          <w:bCs/>
          <w:sz w:val="28"/>
          <w:szCs w:val="28"/>
          <w:lang w:val="en-US"/>
        </w:rPr>
      </w:pPr>
      <w:r>
        <w:rPr>
          <w:rFonts w:eastAsia="仿宋_GB2312"/>
          <w:bCs/>
          <w:sz w:val="28"/>
          <w:szCs w:val="28"/>
          <w:lang w:val="en-US"/>
        </w:rPr>
        <w:t>T</w:t>
      </w:r>
      <w:r w:rsidR="005473D9" w:rsidRPr="009A2AEF">
        <w:rPr>
          <w:rFonts w:eastAsia="仿宋_GB2312"/>
          <w:bCs/>
          <w:sz w:val="28"/>
          <w:szCs w:val="28"/>
          <w:lang w:val="en-US"/>
        </w:rPr>
        <w:t xml:space="preserve">he Company's </w:t>
      </w:r>
      <w:r>
        <w:rPr>
          <w:rFonts w:eastAsia="仿宋_GB2312"/>
          <w:bCs/>
          <w:sz w:val="28"/>
          <w:szCs w:val="28"/>
          <w:lang w:val="en-US"/>
        </w:rPr>
        <w:t xml:space="preserve">2019 </w:t>
      </w:r>
      <w:r w:rsidR="005473D9" w:rsidRPr="009A2AEF">
        <w:rPr>
          <w:rFonts w:eastAsia="仿宋_GB2312"/>
          <w:bCs/>
          <w:sz w:val="28"/>
          <w:szCs w:val="28"/>
          <w:lang w:val="en-US"/>
        </w:rPr>
        <w:t xml:space="preserve">operating cost is estimated to be RMB 62 million, </w:t>
      </w:r>
      <w:r w:rsidR="009C5C7A">
        <w:rPr>
          <w:rFonts w:eastAsia="仿宋_GB2312"/>
          <w:bCs/>
          <w:sz w:val="28"/>
          <w:szCs w:val="28"/>
          <w:lang w:val="en-US"/>
        </w:rPr>
        <w:t>reflecting a reduction of</w:t>
      </w:r>
      <w:r w:rsidR="005473D9" w:rsidRPr="009A2AEF">
        <w:rPr>
          <w:rFonts w:eastAsia="仿宋_GB2312"/>
          <w:bCs/>
          <w:sz w:val="28"/>
          <w:szCs w:val="28"/>
          <w:lang w:val="en-US"/>
        </w:rPr>
        <w:t xml:space="preserve"> RMB 3.62 million from </w:t>
      </w:r>
      <w:r w:rsidR="009C5C7A">
        <w:rPr>
          <w:rFonts w:eastAsia="仿宋_GB2312"/>
          <w:bCs/>
          <w:sz w:val="28"/>
          <w:szCs w:val="28"/>
          <w:lang w:val="en-US"/>
        </w:rPr>
        <w:t>2018</w:t>
      </w:r>
      <w:r w:rsidR="005473D9" w:rsidRPr="009A2AEF">
        <w:rPr>
          <w:rFonts w:eastAsia="仿宋_GB2312"/>
          <w:bCs/>
          <w:sz w:val="28"/>
          <w:szCs w:val="28"/>
          <w:lang w:val="en-US"/>
        </w:rPr>
        <w:t xml:space="preserve">, mainly </w:t>
      </w:r>
      <w:r>
        <w:rPr>
          <w:rFonts w:eastAsia="仿宋_GB2312"/>
          <w:bCs/>
          <w:sz w:val="28"/>
          <w:szCs w:val="28"/>
          <w:lang w:val="en-US"/>
        </w:rPr>
        <w:t>consisting of (</w:t>
      </w:r>
      <w:proofErr w:type="spellStart"/>
      <w:r>
        <w:rPr>
          <w:rFonts w:eastAsia="仿宋_GB2312"/>
          <w:bCs/>
          <w:sz w:val="28"/>
          <w:szCs w:val="28"/>
          <w:lang w:val="en-US"/>
        </w:rPr>
        <w:t>i</w:t>
      </w:r>
      <w:proofErr w:type="spellEnd"/>
      <w:r>
        <w:rPr>
          <w:rFonts w:eastAsia="仿宋_GB2312"/>
          <w:bCs/>
          <w:sz w:val="28"/>
          <w:szCs w:val="28"/>
          <w:lang w:val="en-US"/>
        </w:rPr>
        <w:t xml:space="preserve">) </w:t>
      </w:r>
      <w:r w:rsidR="005473D9" w:rsidRPr="009A2AEF">
        <w:rPr>
          <w:rFonts w:eastAsia="仿宋_GB2312"/>
          <w:bCs/>
          <w:sz w:val="28"/>
          <w:szCs w:val="28"/>
          <w:lang w:val="en-US"/>
        </w:rPr>
        <w:t xml:space="preserve"> interest expenses of </w:t>
      </w:r>
      <w:bookmarkStart w:id="1" w:name="_Hlk532721772"/>
      <w:r w:rsidR="005473D9" w:rsidRPr="009A2AEF">
        <w:rPr>
          <w:rFonts w:eastAsia="仿宋_GB2312"/>
          <w:bCs/>
          <w:sz w:val="28"/>
          <w:szCs w:val="28"/>
          <w:lang w:val="en-US"/>
        </w:rPr>
        <w:t>RMB 15 million</w:t>
      </w:r>
      <w:bookmarkEnd w:id="1"/>
      <w:r w:rsidR="00102190">
        <w:rPr>
          <w:rFonts w:eastAsia="仿宋_GB2312"/>
          <w:bCs/>
          <w:sz w:val="28"/>
          <w:szCs w:val="28"/>
          <w:lang w:val="en-US"/>
        </w:rPr>
        <w:t xml:space="preserve"> payable to the Bank of China under Project Hanson</w:t>
      </w:r>
      <w:r w:rsidR="005473D9" w:rsidRPr="009A2AEF">
        <w:rPr>
          <w:rFonts w:eastAsia="仿宋_GB2312"/>
          <w:bCs/>
          <w:sz w:val="28"/>
          <w:szCs w:val="28"/>
          <w:lang w:val="en-US"/>
        </w:rPr>
        <w:t xml:space="preserve"> (considering </w:t>
      </w:r>
      <w:r w:rsidR="00540470">
        <w:rPr>
          <w:rFonts w:eastAsia="仿宋_GB2312"/>
          <w:bCs/>
          <w:sz w:val="28"/>
          <w:szCs w:val="28"/>
          <w:lang w:val="en-US"/>
        </w:rPr>
        <w:t xml:space="preserve">anticipated </w:t>
      </w:r>
      <w:r w:rsidR="005473D9" w:rsidRPr="009A2AEF">
        <w:rPr>
          <w:rFonts w:eastAsia="仿宋_GB2312"/>
          <w:bCs/>
          <w:sz w:val="28"/>
          <w:szCs w:val="28"/>
          <w:lang w:val="en-US"/>
        </w:rPr>
        <w:t xml:space="preserve">dividends, the estimated interest </w:t>
      </w:r>
      <w:r w:rsidR="00540470" w:rsidRPr="009A2AEF">
        <w:rPr>
          <w:rFonts w:eastAsia="仿宋_GB2312"/>
          <w:bCs/>
          <w:sz w:val="28"/>
          <w:szCs w:val="28"/>
          <w:lang w:val="en-US"/>
        </w:rPr>
        <w:t>expense</w:t>
      </w:r>
      <w:r w:rsidR="00540470">
        <w:rPr>
          <w:rFonts w:eastAsia="仿宋_GB2312"/>
          <w:bCs/>
          <w:sz w:val="28"/>
          <w:szCs w:val="28"/>
          <w:lang w:val="en-US"/>
        </w:rPr>
        <w:t xml:space="preserve"> is slightly</w:t>
      </w:r>
      <w:r w:rsidR="00540470" w:rsidRPr="009A2AEF">
        <w:rPr>
          <w:rFonts w:eastAsia="仿宋_GB2312"/>
          <w:bCs/>
          <w:sz w:val="28"/>
          <w:szCs w:val="28"/>
          <w:lang w:val="en-US"/>
        </w:rPr>
        <w:t xml:space="preserve"> </w:t>
      </w:r>
      <w:r w:rsidR="005473D9" w:rsidRPr="009A2AEF">
        <w:rPr>
          <w:rFonts w:eastAsia="仿宋_GB2312"/>
          <w:bCs/>
          <w:sz w:val="28"/>
          <w:szCs w:val="28"/>
          <w:lang w:val="en-US"/>
        </w:rPr>
        <w:t xml:space="preserve">reduced compared with </w:t>
      </w:r>
      <w:r w:rsidR="00291929" w:rsidRPr="009A2AEF">
        <w:rPr>
          <w:rFonts w:eastAsia="仿宋_GB2312"/>
          <w:bCs/>
          <w:sz w:val="28"/>
          <w:szCs w:val="28"/>
          <w:lang w:val="en-US"/>
        </w:rPr>
        <w:t xml:space="preserve">RMB 19.8 million of </w:t>
      </w:r>
      <w:r w:rsidR="005473D9" w:rsidRPr="009A2AEF">
        <w:rPr>
          <w:rFonts w:eastAsia="仿宋_GB2312"/>
          <w:bCs/>
          <w:sz w:val="28"/>
          <w:szCs w:val="28"/>
          <w:lang w:val="en-US"/>
        </w:rPr>
        <w:t xml:space="preserve">the previous year), </w:t>
      </w:r>
      <w:r w:rsidR="00540470">
        <w:rPr>
          <w:rFonts w:eastAsia="仿宋_GB2312"/>
          <w:bCs/>
          <w:sz w:val="28"/>
          <w:szCs w:val="28"/>
          <w:lang w:val="en-US"/>
        </w:rPr>
        <w:t xml:space="preserve">(ii) </w:t>
      </w:r>
      <w:r w:rsidR="005473D9" w:rsidRPr="009A2AEF">
        <w:rPr>
          <w:rFonts w:eastAsia="仿宋_GB2312"/>
          <w:bCs/>
          <w:sz w:val="28"/>
          <w:szCs w:val="28"/>
          <w:lang w:val="en-US"/>
        </w:rPr>
        <w:t xml:space="preserve">payroll expenses RMB 27.37 (excluding bonuses), a decrease of RMB 1.54 million over the previous year, </w:t>
      </w:r>
      <w:r w:rsidR="00540470">
        <w:rPr>
          <w:rFonts w:eastAsia="仿宋_GB2312"/>
          <w:bCs/>
          <w:sz w:val="28"/>
          <w:szCs w:val="28"/>
          <w:lang w:val="en-US"/>
        </w:rPr>
        <w:t xml:space="preserve">(iii) </w:t>
      </w:r>
      <w:r w:rsidR="005473D9" w:rsidRPr="009A2AEF">
        <w:rPr>
          <w:rFonts w:eastAsia="仿宋_GB2312"/>
          <w:bCs/>
          <w:sz w:val="28"/>
          <w:szCs w:val="28"/>
          <w:lang w:val="en-US"/>
        </w:rPr>
        <w:t>fundraising fee</w:t>
      </w:r>
      <w:r w:rsidR="00540470">
        <w:rPr>
          <w:rFonts w:eastAsia="仿宋_GB2312"/>
          <w:bCs/>
          <w:sz w:val="28"/>
          <w:szCs w:val="28"/>
          <w:lang w:val="en-US"/>
        </w:rPr>
        <w:t>s</w:t>
      </w:r>
      <w:r w:rsidR="005473D9" w:rsidRPr="009A2AEF">
        <w:rPr>
          <w:rFonts w:eastAsia="仿宋_GB2312"/>
          <w:bCs/>
          <w:sz w:val="28"/>
          <w:szCs w:val="28"/>
          <w:lang w:val="en-US"/>
        </w:rPr>
        <w:t xml:space="preserve"> of RMB 5.31 million, and</w:t>
      </w:r>
      <w:r w:rsidR="00B82A94">
        <w:rPr>
          <w:rFonts w:eastAsia="仿宋_GB2312"/>
          <w:bCs/>
          <w:sz w:val="28"/>
          <w:szCs w:val="28"/>
          <w:lang w:val="en-US"/>
        </w:rPr>
        <w:t xml:space="preserve"> (iv)</w:t>
      </w:r>
      <w:r w:rsidR="005473D9" w:rsidRPr="009A2AEF">
        <w:rPr>
          <w:rFonts w:eastAsia="仿宋_GB2312"/>
          <w:bCs/>
          <w:sz w:val="28"/>
          <w:szCs w:val="28"/>
          <w:lang w:val="en-US"/>
        </w:rPr>
        <w:t xml:space="preserve"> other operating cost</w:t>
      </w:r>
      <w:r w:rsidR="00B82A94">
        <w:rPr>
          <w:rFonts w:eastAsia="仿宋_GB2312"/>
          <w:bCs/>
          <w:sz w:val="28"/>
          <w:szCs w:val="28"/>
          <w:lang w:val="en-US"/>
        </w:rPr>
        <w:t>s</w:t>
      </w:r>
      <w:r w:rsidR="005473D9" w:rsidRPr="009A2AEF">
        <w:rPr>
          <w:rFonts w:eastAsia="仿宋_GB2312"/>
          <w:bCs/>
          <w:sz w:val="28"/>
          <w:szCs w:val="28"/>
          <w:lang w:val="en-US"/>
        </w:rPr>
        <w:t xml:space="preserve"> of RMB 12.32 million. The Company is expected to achieve</w:t>
      </w:r>
      <w:r w:rsidR="00B82A94">
        <w:rPr>
          <w:rFonts w:eastAsia="仿宋_GB2312"/>
          <w:bCs/>
          <w:sz w:val="28"/>
          <w:szCs w:val="28"/>
          <w:lang w:val="en-US"/>
        </w:rPr>
        <w:t xml:space="preserve"> an </w:t>
      </w:r>
      <w:r w:rsidR="005473D9" w:rsidRPr="009A2AEF">
        <w:rPr>
          <w:rFonts w:eastAsia="仿宋_GB2312"/>
          <w:bCs/>
          <w:sz w:val="28"/>
          <w:szCs w:val="28"/>
          <w:lang w:val="en-US"/>
        </w:rPr>
        <w:t xml:space="preserve">operating profit of RMB 25.91 million </w:t>
      </w:r>
      <w:r w:rsidR="00B82A94">
        <w:rPr>
          <w:rFonts w:eastAsia="仿宋_GB2312"/>
          <w:bCs/>
          <w:sz w:val="28"/>
          <w:szCs w:val="28"/>
          <w:lang w:val="en-US"/>
        </w:rPr>
        <w:t>for the year</w:t>
      </w:r>
      <w:r w:rsidR="00B82A94" w:rsidRPr="009A2AEF">
        <w:rPr>
          <w:rFonts w:eastAsia="仿宋_GB2312"/>
          <w:bCs/>
          <w:sz w:val="28"/>
          <w:szCs w:val="28"/>
          <w:lang w:val="en-US"/>
        </w:rPr>
        <w:t xml:space="preserve"> </w:t>
      </w:r>
      <w:r w:rsidR="005473D9" w:rsidRPr="009A2AEF">
        <w:rPr>
          <w:rFonts w:eastAsia="仿宋_GB2312"/>
          <w:bCs/>
          <w:sz w:val="28"/>
          <w:szCs w:val="28"/>
          <w:lang w:val="en-US"/>
        </w:rPr>
        <w:t>2019.</w:t>
      </w:r>
    </w:p>
    <w:p w14:paraId="76CF7CB0" w14:textId="77777777" w:rsidR="005473D9" w:rsidRPr="001100D8" w:rsidRDefault="005473D9" w:rsidP="005473D9">
      <w:pPr>
        <w:spacing w:line="360" w:lineRule="auto"/>
        <w:jc w:val="both"/>
        <w:rPr>
          <w:b/>
          <w:sz w:val="28"/>
          <w:szCs w:val="28"/>
          <w:lang w:val="en-US"/>
        </w:rPr>
      </w:pPr>
      <w:r>
        <w:rPr>
          <w:b/>
          <w:sz w:val="28"/>
          <w:szCs w:val="28"/>
          <w:lang w:val="en-US"/>
        </w:rPr>
        <w:t>PART I: 2018</w:t>
      </w:r>
      <w:r w:rsidRPr="001100D8">
        <w:rPr>
          <w:b/>
          <w:sz w:val="28"/>
          <w:szCs w:val="28"/>
          <w:lang w:val="en-US"/>
        </w:rPr>
        <w:t xml:space="preserve"> Financial Report</w:t>
      </w:r>
      <w:r>
        <w:rPr>
          <w:b/>
          <w:sz w:val="28"/>
          <w:szCs w:val="28"/>
          <w:lang w:val="en-US"/>
        </w:rPr>
        <w:t>s</w:t>
      </w:r>
    </w:p>
    <w:p w14:paraId="10EF658D" w14:textId="65225660" w:rsidR="005473D9" w:rsidRPr="009A2AEF" w:rsidRDefault="005473D9" w:rsidP="005473D9">
      <w:pPr>
        <w:spacing w:line="360" w:lineRule="auto"/>
        <w:jc w:val="both"/>
        <w:rPr>
          <w:rFonts w:eastAsia="仿宋_GB2312"/>
          <w:bCs/>
          <w:sz w:val="28"/>
          <w:szCs w:val="28"/>
          <w:lang w:val="en-US"/>
        </w:rPr>
      </w:pPr>
      <w:r w:rsidRPr="009A2AEF">
        <w:rPr>
          <w:rFonts w:eastAsia="仿宋_GB2312"/>
          <w:bCs/>
          <w:sz w:val="28"/>
          <w:szCs w:val="28"/>
          <w:lang w:val="en-US"/>
        </w:rPr>
        <w:t xml:space="preserve">The Company's revenue and expense in 2018, as compared with the budget, </w:t>
      </w:r>
      <w:r w:rsidR="00960559">
        <w:rPr>
          <w:rFonts w:eastAsia="仿宋_GB2312"/>
          <w:bCs/>
          <w:sz w:val="28"/>
          <w:szCs w:val="28"/>
          <w:lang w:val="en-US"/>
        </w:rPr>
        <w:t>breakdown is</w:t>
      </w:r>
      <w:r w:rsidR="00960559" w:rsidRPr="009A2AEF">
        <w:rPr>
          <w:rFonts w:eastAsia="仿宋_GB2312"/>
          <w:bCs/>
          <w:sz w:val="28"/>
          <w:szCs w:val="28"/>
          <w:lang w:val="en-US"/>
        </w:rPr>
        <w:t xml:space="preserve"> </w:t>
      </w:r>
      <w:r w:rsidRPr="009A2AEF">
        <w:rPr>
          <w:rFonts w:eastAsia="仿宋_GB2312"/>
          <w:bCs/>
          <w:sz w:val="28"/>
          <w:szCs w:val="28"/>
          <w:lang w:val="en-US"/>
        </w:rPr>
        <w:t>as follows:</w:t>
      </w:r>
    </w:p>
    <w:p w14:paraId="4B177E35" w14:textId="5CFB29B1" w:rsidR="005473D9" w:rsidRPr="009A2AEF" w:rsidRDefault="005473D9" w:rsidP="005473D9">
      <w:pPr>
        <w:spacing w:line="360" w:lineRule="auto"/>
        <w:jc w:val="both"/>
        <w:rPr>
          <w:rFonts w:eastAsia="仿宋_GB2312"/>
          <w:bCs/>
          <w:sz w:val="28"/>
          <w:szCs w:val="28"/>
          <w:lang w:val="en-US"/>
        </w:rPr>
      </w:pPr>
    </w:p>
    <w:tbl>
      <w:tblPr>
        <w:tblW w:w="8475" w:type="dxa"/>
        <w:jc w:val="center"/>
        <w:tblLook w:val="04A0" w:firstRow="1" w:lastRow="0" w:firstColumn="1" w:lastColumn="0" w:noHBand="0" w:noVBand="1"/>
      </w:tblPr>
      <w:tblGrid>
        <w:gridCol w:w="2126"/>
        <w:gridCol w:w="1134"/>
        <w:gridCol w:w="1134"/>
        <w:gridCol w:w="1276"/>
        <w:gridCol w:w="2805"/>
      </w:tblGrid>
      <w:tr w:rsidR="00A836D8" w:rsidRPr="00A836D8" w14:paraId="27BD7EE4" w14:textId="77777777" w:rsidTr="009D1752">
        <w:trPr>
          <w:trHeight w:val="623"/>
          <w:jc w:val="center"/>
        </w:trPr>
        <w:tc>
          <w:tcPr>
            <w:tcW w:w="8475" w:type="dxa"/>
            <w:gridSpan w:val="5"/>
            <w:shd w:val="clear" w:color="auto" w:fill="auto"/>
            <w:noWrap/>
            <w:vAlign w:val="center"/>
          </w:tcPr>
          <w:p w14:paraId="721E7260" w14:textId="686A57F7" w:rsidR="00A836D8" w:rsidRPr="009D1752" w:rsidRDefault="00A836D8">
            <w:pPr>
              <w:jc w:val="center"/>
              <w:rPr>
                <w:rFonts w:eastAsia="华文楷体"/>
                <w:color w:val="000000"/>
                <w:sz w:val="22"/>
                <w:szCs w:val="22"/>
                <w:lang w:val="en-US"/>
              </w:rPr>
            </w:pPr>
            <w:r w:rsidRPr="009D1752">
              <w:rPr>
                <w:b/>
                <w:color w:val="000000"/>
                <w:sz w:val="28"/>
                <w:szCs w:val="28"/>
                <w:lang w:val="en-US"/>
              </w:rPr>
              <w:t>2018 annual comparison of actual revenue and budget</w:t>
            </w:r>
          </w:p>
          <w:p w14:paraId="1516D386" w14:textId="77777777" w:rsidR="00A836D8" w:rsidRPr="009D1752" w:rsidRDefault="00A836D8">
            <w:pPr>
              <w:jc w:val="center"/>
              <w:rPr>
                <w:rFonts w:eastAsia="华文楷体"/>
                <w:b/>
                <w:color w:val="000000"/>
                <w:sz w:val="22"/>
                <w:szCs w:val="22"/>
                <w:lang w:val="en-US"/>
              </w:rPr>
            </w:pPr>
            <w:r w:rsidRPr="009D1752">
              <w:rPr>
                <w:color w:val="000000"/>
                <w:sz w:val="20"/>
                <w:szCs w:val="20"/>
                <w:lang w:val="en-US"/>
              </w:rPr>
              <w:t>Unit: CNY ‘000</w:t>
            </w:r>
          </w:p>
        </w:tc>
      </w:tr>
      <w:tr w:rsidR="00A836D8" w:rsidRPr="00A836D8" w14:paraId="0E710397" w14:textId="77777777" w:rsidTr="009D1752">
        <w:trPr>
          <w:trHeight w:val="330"/>
          <w:jc w:val="center"/>
        </w:trPr>
        <w:tc>
          <w:tcPr>
            <w:tcW w:w="2126" w:type="dxa"/>
            <w:shd w:val="clear" w:color="auto" w:fill="auto"/>
            <w:noWrap/>
            <w:vAlign w:val="center"/>
            <w:hideMark/>
          </w:tcPr>
          <w:p w14:paraId="2BB9C80C" w14:textId="77777777" w:rsidR="00A836D8" w:rsidRPr="009D1752" w:rsidRDefault="00A836D8" w:rsidP="009A2AEF">
            <w:pPr>
              <w:jc w:val="center"/>
              <w:rPr>
                <w:rFonts w:eastAsia="华文楷体"/>
                <w:b/>
                <w:color w:val="000000"/>
                <w:sz w:val="22"/>
                <w:szCs w:val="22"/>
                <w:lang w:val="en-US"/>
              </w:rPr>
            </w:pPr>
          </w:p>
        </w:tc>
        <w:tc>
          <w:tcPr>
            <w:tcW w:w="1134" w:type="dxa"/>
            <w:shd w:val="clear" w:color="auto" w:fill="auto"/>
            <w:noWrap/>
            <w:vAlign w:val="center"/>
            <w:hideMark/>
          </w:tcPr>
          <w:p w14:paraId="113C3853" w14:textId="77777777" w:rsidR="00A836D8" w:rsidRPr="009D1752" w:rsidRDefault="00A836D8" w:rsidP="009A2AEF">
            <w:pPr>
              <w:jc w:val="center"/>
              <w:rPr>
                <w:rFonts w:eastAsia="华文楷体"/>
                <w:b/>
                <w:color w:val="000000"/>
                <w:sz w:val="22"/>
                <w:szCs w:val="22"/>
                <w:lang w:val="en-US"/>
              </w:rPr>
            </w:pPr>
            <w:r w:rsidRPr="009D1752">
              <w:rPr>
                <w:rFonts w:eastAsia="华文楷体"/>
                <w:b/>
                <w:color w:val="000000"/>
                <w:sz w:val="22"/>
                <w:szCs w:val="22"/>
                <w:lang w:val="en-US"/>
              </w:rPr>
              <w:t>2018</w:t>
            </w:r>
            <w:r w:rsidRPr="009D1752">
              <w:rPr>
                <w:b/>
                <w:bCs/>
                <w:color w:val="000000"/>
                <w:sz w:val="21"/>
                <w:szCs w:val="21"/>
                <w:lang w:val="en-US"/>
              </w:rPr>
              <w:t xml:space="preserve"> Actual</w:t>
            </w:r>
          </w:p>
        </w:tc>
        <w:tc>
          <w:tcPr>
            <w:tcW w:w="1134" w:type="dxa"/>
            <w:shd w:val="clear" w:color="auto" w:fill="auto"/>
            <w:noWrap/>
            <w:vAlign w:val="center"/>
            <w:hideMark/>
          </w:tcPr>
          <w:p w14:paraId="4E4971F6" w14:textId="77777777" w:rsidR="00A836D8" w:rsidRPr="009D1752" w:rsidRDefault="00A836D8" w:rsidP="009A2AEF">
            <w:pPr>
              <w:jc w:val="center"/>
              <w:rPr>
                <w:rFonts w:eastAsia="华文楷体"/>
                <w:b/>
                <w:color w:val="000000"/>
                <w:sz w:val="22"/>
                <w:szCs w:val="22"/>
                <w:lang w:val="en-US"/>
              </w:rPr>
            </w:pPr>
            <w:r w:rsidRPr="009D1752">
              <w:rPr>
                <w:rFonts w:eastAsia="华文楷体"/>
                <w:b/>
                <w:color w:val="000000"/>
                <w:sz w:val="22"/>
                <w:szCs w:val="22"/>
                <w:lang w:val="en-US"/>
              </w:rPr>
              <w:t>2018</w:t>
            </w:r>
            <w:r w:rsidRPr="009D1752">
              <w:rPr>
                <w:b/>
                <w:bCs/>
                <w:color w:val="000000"/>
                <w:sz w:val="21"/>
                <w:szCs w:val="21"/>
                <w:lang w:val="en-US"/>
              </w:rPr>
              <w:t xml:space="preserve"> budget</w:t>
            </w:r>
          </w:p>
        </w:tc>
        <w:tc>
          <w:tcPr>
            <w:tcW w:w="1276" w:type="dxa"/>
            <w:shd w:val="clear" w:color="auto" w:fill="auto"/>
            <w:noWrap/>
            <w:vAlign w:val="center"/>
            <w:hideMark/>
          </w:tcPr>
          <w:p w14:paraId="72A5D1D7" w14:textId="77777777" w:rsidR="00A836D8" w:rsidRPr="009D1752" w:rsidRDefault="00A836D8" w:rsidP="009A2AEF">
            <w:pPr>
              <w:jc w:val="center"/>
              <w:rPr>
                <w:rFonts w:eastAsia="华文楷体"/>
                <w:b/>
                <w:color w:val="000000"/>
                <w:sz w:val="22"/>
                <w:szCs w:val="22"/>
                <w:lang w:val="en-US"/>
              </w:rPr>
            </w:pPr>
            <w:r w:rsidRPr="009D1752">
              <w:rPr>
                <w:b/>
                <w:bCs/>
                <w:color w:val="000000"/>
                <w:sz w:val="21"/>
                <w:szCs w:val="21"/>
                <w:lang w:val="en-US"/>
              </w:rPr>
              <w:t xml:space="preserve">       difference</w:t>
            </w:r>
          </w:p>
        </w:tc>
        <w:tc>
          <w:tcPr>
            <w:tcW w:w="2805" w:type="dxa"/>
            <w:shd w:val="clear" w:color="auto" w:fill="auto"/>
            <w:vAlign w:val="center"/>
            <w:hideMark/>
          </w:tcPr>
          <w:p w14:paraId="5E701F63" w14:textId="77777777" w:rsidR="00A836D8" w:rsidRPr="009D1752" w:rsidRDefault="00A836D8" w:rsidP="009A2AEF">
            <w:pPr>
              <w:jc w:val="center"/>
              <w:rPr>
                <w:rFonts w:eastAsia="华文楷体"/>
                <w:b/>
                <w:color w:val="000000"/>
                <w:sz w:val="22"/>
                <w:szCs w:val="22"/>
                <w:lang w:val="en-US"/>
              </w:rPr>
            </w:pPr>
            <w:r w:rsidRPr="009D1752">
              <w:rPr>
                <w:b/>
                <w:bCs/>
                <w:color w:val="000000"/>
                <w:sz w:val="21"/>
                <w:szCs w:val="21"/>
                <w:lang w:val="en-US"/>
              </w:rPr>
              <w:t>Note</w:t>
            </w:r>
          </w:p>
        </w:tc>
      </w:tr>
      <w:tr w:rsidR="00A836D8" w:rsidRPr="00A836D8" w14:paraId="3858FFD4" w14:textId="77777777" w:rsidTr="009D1752">
        <w:trPr>
          <w:trHeight w:val="274"/>
          <w:jc w:val="center"/>
        </w:trPr>
        <w:tc>
          <w:tcPr>
            <w:tcW w:w="2126" w:type="dxa"/>
            <w:shd w:val="clear" w:color="auto" w:fill="auto"/>
            <w:noWrap/>
            <w:vAlign w:val="center"/>
            <w:hideMark/>
          </w:tcPr>
          <w:p w14:paraId="76D8F914" w14:textId="77777777" w:rsidR="00A836D8" w:rsidRPr="009D1752" w:rsidRDefault="00A836D8" w:rsidP="009D1752">
            <w:pPr>
              <w:rPr>
                <w:rFonts w:eastAsia="华文楷体"/>
                <w:color w:val="000000"/>
                <w:sz w:val="22"/>
                <w:szCs w:val="22"/>
                <w:lang w:val="en-US"/>
              </w:rPr>
            </w:pPr>
            <w:r w:rsidRPr="009D1752">
              <w:rPr>
                <w:color w:val="000000"/>
                <w:sz w:val="21"/>
                <w:szCs w:val="21"/>
                <w:lang w:val="en-US"/>
              </w:rPr>
              <w:t>Sinopec</w:t>
            </w:r>
          </w:p>
        </w:tc>
        <w:tc>
          <w:tcPr>
            <w:tcW w:w="1134" w:type="dxa"/>
            <w:shd w:val="clear" w:color="auto" w:fill="auto"/>
            <w:noWrap/>
            <w:vAlign w:val="center"/>
            <w:hideMark/>
          </w:tcPr>
          <w:p w14:paraId="7CD85AB0" w14:textId="77777777" w:rsidR="00A836D8" w:rsidRPr="009D1752" w:rsidRDefault="00A836D8" w:rsidP="009D1752">
            <w:pPr>
              <w:ind w:firstLineChars="50" w:firstLine="105"/>
              <w:jc w:val="right"/>
              <w:rPr>
                <w:color w:val="000000"/>
                <w:kern w:val="2"/>
                <w:sz w:val="21"/>
                <w:szCs w:val="21"/>
                <w:lang w:val="en-US"/>
              </w:rPr>
            </w:pPr>
            <w:r w:rsidRPr="009D1752">
              <w:rPr>
                <w:color w:val="000000"/>
                <w:kern w:val="2"/>
                <w:sz w:val="21"/>
                <w:szCs w:val="21"/>
                <w:lang w:val="en-US"/>
              </w:rPr>
              <w:t xml:space="preserve">   2,407</w:t>
            </w:r>
          </w:p>
        </w:tc>
        <w:tc>
          <w:tcPr>
            <w:tcW w:w="1134" w:type="dxa"/>
            <w:shd w:val="clear" w:color="auto" w:fill="auto"/>
            <w:noWrap/>
            <w:vAlign w:val="center"/>
            <w:hideMark/>
          </w:tcPr>
          <w:p w14:paraId="131C1DD5" w14:textId="50D52321" w:rsidR="00A836D8" w:rsidRPr="009D1752" w:rsidRDefault="00A836D8" w:rsidP="009D1752">
            <w:pPr>
              <w:jc w:val="right"/>
              <w:rPr>
                <w:color w:val="000000"/>
                <w:kern w:val="2"/>
                <w:sz w:val="21"/>
                <w:szCs w:val="21"/>
                <w:lang w:val="en-US"/>
              </w:rPr>
            </w:pPr>
            <w:r w:rsidRPr="009D1752">
              <w:rPr>
                <w:color w:val="000000"/>
                <w:kern w:val="2"/>
                <w:sz w:val="21"/>
                <w:szCs w:val="21"/>
                <w:lang w:val="en-US"/>
              </w:rPr>
              <w:t xml:space="preserve">    2,400</w:t>
            </w:r>
          </w:p>
        </w:tc>
        <w:tc>
          <w:tcPr>
            <w:tcW w:w="1276" w:type="dxa"/>
            <w:shd w:val="clear" w:color="auto" w:fill="auto"/>
            <w:noWrap/>
            <w:vAlign w:val="center"/>
            <w:hideMark/>
          </w:tcPr>
          <w:p w14:paraId="38B12CA7" w14:textId="77777777" w:rsidR="00A836D8" w:rsidRPr="009D1752" w:rsidRDefault="00A836D8" w:rsidP="009D1752">
            <w:pPr>
              <w:ind w:firstLineChars="300" w:firstLine="630"/>
              <w:jc w:val="right"/>
              <w:rPr>
                <w:color w:val="000000"/>
                <w:kern w:val="2"/>
                <w:sz w:val="21"/>
                <w:szCs w:val="21"/>
                <w:lang w:val="en-US"/>
              </w:rPr>
            </w:pPr>
            <w:r w:rsidRPr="009D1752">
              <w:rPr>
                <w:color w:val="000000"/>
                <w:kern w:val="2"/>
                <w:sz w:val="21"/>
                <w:szCs w:val="21"/>
                <w:lang w:val="en-US"/>
              </w:rPr>
              <w:t>7</w:t>
            </w:r>
          </w:p>
        </w:tc>
        <w:tc>
          <w:tcPr>
            <w:tcW w:w="2805" w:type="dxa"/>
            <w:shd w:val="clear" w:color="auto" w:fill="auto"/>
            <w:vAlign w:val="center"/>
            <w:hideMark/>
          </w:tcPr>
          <w:p w14:paraId="000AC5F5" w14:textId="77777777" w:rsidR="00A836D8" w:rsidRPr="009D1752" w:rsidRDefault="00A836D8" w:rsidP="009A2AEF">
            <w:pPr>
              <w:rPr>
                <w:rFonts w:eastAsia="华文楷体"/>
                <w:color w:val="000000"/>
                <w:sz w:val="22"/>
                <w:szCs w:val="22"/>
                <w:lang w:val="en-US"/>
              </w:rPr>
            </w:pPr>
            <w:r w:rsidRPr="009D1752">
              <w:rPr>
                <w:rFonts w:eastAsia="华文楷体" w:hint="eastAsia"/>
                <w:color w:val="000000"/>
                <w:sz w:val="22"/>
                <w:szCs w:val="22"/>
                <w:lang w:val="en-US"/>
              </w:rPr>
              <w:t xml:space="preserve">　</w:t>
            </w:r>
          </w:p>
        </w:tc>
      </w:tr>
      <w:tr w:rsidR="008100AD" w:rsidRPr="00A836D8" w14:paraId="3CCB2D60" w14:textId="77777777" w:rsidTr="009D1752">
        <w:trPr>
          <w:trHeight w:val="330"/>
          <w:jc w:val="center"/>
        </w:trPr>
        <w:tc>
          <w:tcPr>
            <w:tcW w:w="2126" w:type="dxa"/>
            <w:shd w:val="clear" w:color="auto" w:fill="auto"/>
            <w:noWrap/>
            <w:vAlign w:val="center"/>
            <w:hideMark/>
          </w:tcPr>
          <w:p w14:paraId="495B27DB" w14:textId="77777777" w:rsidR="008100AD" w:rsidRPr="009D1752" w:rsidRDefault="008100AD" w:rsidP="009D1752">
            <w:pPr>
              <w:rPr>
                <w:rFonts w:eastAsia="华文楷体"/>
                <w:color w:val="000000"/>
                <w:sz w:val="22"/>
                <w:szCs w:val="22"/>
                <w:lang w:val="en-US"/>
              </w:rPr>
            </w:pPr>
            <w:r w:rsidRPr="009D1752">
              <w:rPr>
                <w:color w:val="000000"/>
                <w:sz w:val="21"/>
                <w:szCs w:val="21"/>
                <w:lang w:val="en-US"/>
              </w:rPr>
              <w:t>Hanson</w:t>
            </w:r>
          </w:p>
        </w:tc>
        <w:tc>
          <w:tcPr>
            <w:tcW w:w="1134" w:type="dxa"/>
            <w:shd w:val="clear" w:color="auto" w:fill="auto"/>
            <w:noWrap/>
            <w:vAlign w:val="center"/>
            <w:hideMark/>
          </w:tcPr>
          <w:p w14:paraId="4914DABE" w14:textId="77777777" w:rsidR="008100AD" w:rsidRPr="009D1752" w:rsidRDefault="008100AD" w:rsidP="009D1752">
            <w:pPr>
              <w:jc w:val="right"/>
              <w:rPr>
                <w:color w:val="000000"/>
                <w:kern w:val="2"/>
                <w:sz w:val="21"/>
                <w:szCs w:val="21"/>
                <w:lang w:val="en-US"/>
              </w:rPr>
            </w:pPr>
            <w:r w:rsidRPr="009D1752">
              <w:rPr>
                <w:color w:val="000000"/>
                <w:kern w:val="2"/>
                <w:sz w:val="21"/>
                <w:szCs w:val="21"/>
                <w:lang w:val="en-US"/>
              </w:rPr>
              <w:t>28,100</w:t>
            </w:r>
          </w:p>
        </w:tc>
        <w:tc>
          <w:tcPr>
            <w:tcW w:w="1134" w:type="dxa"/>
            <w:shd w:val="clear" w:color="auto" w:fill="auto"/>
            <w:noWrap/>
            <w:vAlign w:val="center"/>
            <w:hideMark/>
          </w:tcPr>
          <w:p w14:paraId="4018913A" w14:textId="77777777" w:rsidR="008100AD" w:rsidRPr="009D1752" w:rsidRDefault="008100AD" w:rsidP="009D1752">
            <w:pPr>
              <w:jc w:val="right"/>
              <w:rPr>
                <w:color w:val="000000"/>
                <w:kern w:val="2"/>
                <w:sz w:val="21"/>
                <w:szCs w:val="21"/>
                <w:lang w:val="en-US"/>
              </w:rPr>
            </w:pPr>
            <w:r w:rsidRPr="009D1752">
              <w:rPr>
                <w:rFonts w:hint="eastAsia"/>
                <w:color w:val="000000"/>
                <w:kern w:val="2"/>
                <w:sz w:val="21"/>
                <w:szCs w:val="21"/>
                <w:lang w:val="en-US"/>
              </w:rPr>
              <w:t xml:space="preserve">　</w:t>
            </w:r>
            <w:r w:rsidRPr="009D1752">
              <w:rPr>
                <w:color w:val="000000"/>
                <w:kern w:val="2"/>
                <w:sz w:val="21"/>
                <w:szCs w:val="21"/>
                <w:lang w:val="en-US"/>
              </w:rPr>
              <w:t>29,120</w:t>
            </w:r>
          </w:p>
        </w:tc>
        <w:tc>
          <w:tcPr>
            <w:tcW w:w="1276" w:type="dxa"/>
            <w:shd w:val="clear" w:color="auto" w:fill="auto"/>
            <w:noWrap/>
            <w:vAlign w:val="center"/>
            <w:hideMark/>
          </w:tcPr>
          <w:p w14:paraId="09882E9F" w14:textId="77777777" w:rsidR="008100AD" w:rsidRPr="009D1752" w:rsidRDefault="008100AD" w:rsidP="009D1752">
            <w:pPr>
              <w:ind w:firstLineChars="100" w:firstLine="210"/>
              <w:jc w:val="right"/>
              <w:rPr>
                <w:color w:val="000000"/>
                <w:kern w:val="2"/>
                <w:sz w:val="21"/>
                <w:szCs w:val="21"/>
                <w:lang w:val="en-US"/>
              </w:rPr>
            </w:pPr>
            <w:r w:rsidRPr="009D1752">
              <w:rPr>
                <w:color w:val="000000"/>
                <w:kern w:val="2"/>
                <w:sz w:val="21"/>
                <w:szCs w:val="21"/>
                <w:lang w:val="en-US"/>
              </w:rPr>
              <w:t>- 1,020</w:t>
            </w:r>
          </w:p>
        </w:tc>
        <w:tc>
          <w:tcPr>
            <w:tcW w:w="2805" w:type="dxa"/>
            <w:shd w:val="clear" w:color="auto" w:fill="auto"/>
            <w:vAlign w:val="center"/>
            <w:hideMark/>
          </w:tcPr>
          <w:p w14:paraId="4871475A" w14:textId="790984AB" w:rsidR="008100AD" w:rsidRPr="009D1752" w:rsidRDefault="008100AD" w:rsidP="008100AD">
            <w:pPr>
              <w:rPr>
                <w:rFonts w:eastAsia="华文楷体"/>
                <w:color w:val="000000"/>
                <w:sz w:val="22"/>
                <w:szCs w:val="22"/>
                <w:lang w:val="en-US"/>
              </w:rPr>
            </w:pPr>
            <w:r>
              <w:rPr>
                <w:color w:val="000000"/>
                <w:sz w:val="21"/>
                <w:szCs w:val="21"/>
                <w:lang w:val="en-US"/>
              </w:rPr>
              <w:t xml:space="preserve">Adjusted due to </w:t>
            </w:r>
            <w:r w:rsidRPr="006B3138">
              <w:rPr>
                <w:color w:val="000000"/>
                <w:sz w:val="21"/>
                <w:szCs w:val="21"/>
                <w:lang w:val="en-US"/>
              </w:rPr>
              <w:t>income recognition</w:t>
            </w:r>
            <w:r>
              <w:rPr>
                <w:color w:val="000000"/>
                <w:sz w:val="21"/>
                <w:szCs w:val="21"/>
                <w:lang w:val="en-US"/>
              </w:rPr>
              <w:t xml:space="preserve"> period</w:t>
            </w:r>
          </w:p>
        </w:tc>
      </w:tr>
      <w:tr w:rsidR="008100AD" w:rsidRPr="00A836D8" w14:paraId="35E43708" w14:textId="77777777" w:rsidTr="009D1752">
        <w:trPr>
          <w:trHeight w:val="184"/>
          <w:jc w:val="center"/>
        </w:trPr>
        <w:tc>
          <w:tcPr>
            <w:tcW w:w="2126" w:type="dxa"/>
            <w:shd w:val="clear" w:color="auto" w:fill="auto"/>
            <w:noWrap/>
            <w:vAlign w:val="center"/>
            <w:hideMark/>
          </w:tcPr>
          <w:p w14:paraId="59988202" w14:textId="77777777" w:rsidR="008100AD" w:rsidRPr="009D1752" w:rsidRDefault="008100AD" w:rsidP="009D1752">
            <w:pPr>
              <w:rPr>
                <w:rFonts w:eastAsia="华文楷体"/>
                <w:color w:val="000000"/>
                <w:sz w:val="22"/>
                <w:szCs w:val="22"/>
                <w:lang w:val="en-US"/>
              </w:rPr>
            </w:pPr>
            <w:proofErr w:type="spellStart"/>
            <w:r w:rsidRPr="009D1752">
              <w:rPr>
                <w:color w:val="000000"/>
                <w:sz w:val="21"/>
                <w:szCs w:val="21"/>
                <w:lang w:val="en-US"/>
              </w:rPr>
              <w:t>Tuniu</w:t>
            </w:r>
            <w:proofErr w:type="spellEnd"/>
          </w:p>
        </w:tc>
        <w:tc>
          <w:tcPr>
            <w:tcW w:w="1134" w:type="dxa"/>
            <w:shd w:val="clear" w:color="000000" w:fill="FFFFFF"/>
            <w:noWrap/>
            <w:vAlign w:val="center"/>
            <w:hideMark/>
          </w:tcPr>
          <w:p w14:paraId="4AC0612A" w14:textId="77777777" w:rsidR="008100AD" w:rsidRPr="009D1752" w:rsidRDefault="008100AD" w:rsidP="009D1752">
            <w:pPr>
              <w:jc w:val="right"/>
              <w:rPr>
                <w:color w:val="000000"/>
                <w:kern w:val="2"/>
                <w:sz w:val="21"/>
                <w:szCs w:val="21"/>
                <w:lang w:val="en-US"/>
              </w:rPr>
            </w:pPr>
            <w:r w:rsidRPr="009D1752">
              <w:rPr>
                <w:color w:val="000000"/>
                <w:kern w:val="2"/>
                <w:sz w:val="21"/>
                <w:szCs w:val="21"/>
                <w:lang w:val="en-US"/>
              </w:rPr>
              <w:t xml:space="preserve">    5,981</w:t>
            </w:r>
          </w:p>
        </w:tc>
        <w:tc>
          <w:tcPr>
            <w:tcW w:w="1134" w:type="dxa"/>
            <w:shd w:val="clear" w:color="000000" w:fill="FFFFFF"/>
            <w:noWrap/>
            <w:vAlign w:val="center"/>
            <w:hideMark/>
          </w:tcPr>
          <w:p w14:paraId="515C6B50" w14:textId="5B237130" w:rsidR="008100AD" w:rsidRPr="009D1752" w:rsidRDefault="008100AD" w:rsidP="009D1752">
            <w:pPr>
              <w:jc w:val="right"/>
              <w:rPr>
                <w:color w:val="000000"/>
                <w:kern w:val="2"/>
                <w:sz w:val="21"/>
                <w:szCs w:val="21"/>
                <w:lang w:val="en-US"/>
              </w:rPr>
            </w:pPr>
            <w:r w:rsidRPr="009D1752">
              <w:rPr>
                <w:color w:val="000000"/>
                <w:kern w:val="2"/>
                <w:sz w:val="21"/>
                <w:szCs w:val="21"/>
                <w:lang w:val="en-US"/>
              </w:rPr>
              <w:t>6,790</w:t>
            </w:r>
          </w:p>
        </w:tc>
        <w:tc>
          <w:tcPr>
            <w:tcW w:w="1276" w:type="dxa"/>
            <w:shd w:val="clear" w:color="000000" w:fill="FFFFFF"/>
            <w:noWrap/>
            <w:vAlign w:val="center"/>
            <w:hideMark/>
          </w:tcPr>
          <w:p w14:paraId="618DBAD8" w14:textId="1A359677" w:rsidR="008100AD" w:rsidRPr="009D1752" w:rsidRDefault="008100AD" w:rsidP="009D1752">
            <w:pPr>
              <w:jc w:val="right"/>
              <w:rPr>
                <w:color w:val="000000"/>
                <w:kern w:val="2"/>
                <w:sz w:val="21"/>
                <w:szCs w:val="21"/>
                <w:lang w:val="en-US"/>
              </w:rPr>
            </w:pPr>
            <w:r w:rsidRPr="009D1752">
              <w:rPr>
                <w:color w:val="000000"/>
                <w:kern w:val="2"/>
                <w:sz w:val="21"/>
                <w:szCs w:val="21"/>
                <w:lang w:val="en-US"/>
              </w:rPr>
              <w:t>809</w:t>
            </w:r>
          </w:p>
        </w:tc>
        <w:tc>
          <w:tcPr>
            <w:tcW w:w="2805" w:type="dxa"/>
            <w:shd w:val="clear" w:color="auto" w:fill="auto"/>
            <w:vAlign w:val="center"/>
          </w:tcPr>
          <w:p w14:paraId="1545E80F" w14:textId="5157F96D" w:rsidR="008100AD" w:rsidRPr="009D1752" w:rsidRDefault="008100AD" w:rsidP="008100AD">
            <w:pPr>
              <w:rPr>
                <w:rFonts w:eastAsia="华文楷体"/>
                <w:color w:val="000000"/>
                <w:sz w:val="22"/>
                <w:szCs w:val="22"/>
                <w:lang w:val="en-US"/>
              </w:rPr>
            </w:pPr>
            <w:r w:rsidRPr="008100AD">
              <w:rPr>
                <w:rFonts w:eastAsia="华文楷体"/>
                <w:color w:val="000000"/>
                <w:sz w:val="22"/>
                <w:szCs w:val="22"/>
                <w:lang w:val="en-US"/>
              </w:rPr>
              <w:t>Reduction of management fee calculation base</w:t>
            </w:r>
          </w:p>
        </w:tc>
      </w:tr>
      <w:tr w:rsidR="008100AD" w:rsidRPr="00A836D8" w14:paraId="57E7515B" w14:textId="77777777" w:rsidTr="009D1752">
        <w:trPr>
          <w:trHeight w:val="133"/>
          <w:jc w:val="center"/>
        </w:trPr>
        <w:tc>
          <w:tcPr>
            <w:tcW w:w="2126" w:type="dxa"/>
            <w:shd w:val="clear" w:color="auto" w:fill="auto"/>
            <w:noWrap/>
            <w:vAlign w:val="center"/>
          </w:tcPr>
          <w:p w14:paraId="0F1FEE7F" w14:textId="77777777" w:rsidR="008100AD" w:rsidRPr="009D1752" w:rsidRDefault="008100AD" w:rsidP="009D1752">
            <w:pPr>
              <w:rPr>
                <w:rFonts w:eastAsia="华文楷体"/>
                <w:color w:val="000000"/>
                <w:sz w:val="22"/>
                <w:szCs w:val="22"/>
                <w:lang w:val="en-US"/>
              </w:rPr>
            </w:pPr>
            <w:r w:rsidRPr="009D1752">
              <w:rPr>
                <w:color w:val="000000"/>
                <w:sz w:val="21"/>
                <w:szCs w:val="21"/>
                <w:lang w:val="en-US"/>
              </w:rPr>
              <w:t>CATL</w:t>
            </w:r>
          </w:p>
        </w:tc>
        <w:tc>
          <w:tcPr>
            <w:tcW w:w="1134" w:type="dxa"/>
            <w:shd w:val="clear" w:color="000000" w:fill="FFFFFF"/>
            <w:noWrap/>
            <w:vAlign w:val="center"/>
          </w:tcPr>
          <w:p w14:paraId="570D47A4" w14:textId="77777777" w:rsidR="008100AD" w:rsidRPr="009D1752" w:rsidRDefault="008100AD" w:rsidP="009D1752">
            <w:pPr>
              <w:jc w:val="right"/>
              <w:rPr>
                <w:color w:val="000000"/>
                <w:kern w:val="2"/>
                <w:sz w:val="21"/>
                <w:szCs w:val="21"/>
                <w:lang w:val="en-US"/>
              </w:rPr>
            </w:pPr>
            <w:r w:rsidRPr="009D1752">
              <w:rPr>
                <w:color w:val="000000"/>
                <w:kern w:val="2"/>
                <w:sz w:val="21"/>
                <w:szCs w:val="21"/>
                <w:lang w:val="en-US"/>
              </w:rPr>
              <w:t xml:space="preserve">   1,717</w:t>
            </w:r>
          </w:p>
        </w:tc>
        <w:tc>
          <w:tcPr>
            <w:tcW w:w="1134" w:type="dxa"/>
            <w:shd w:val="clear" w:color="000000" w:fill="FFFFFF"/>
            <w:noWrap/>
            <w:vAlign w:val="center"/>
          </w:tcPr>
          <w:p w14:paraId="33823FB0" w14:textId="1BB98567" w:rsidR="008100AD" w:rsidRPr="009D1752" w:rsidRDefault="008100AD" w:rsidP="009D1752">
            <w:pPr>
              <w:jc w:val="right"/>
              <w:rPr>
                <w:color w:val="000000"/>
                <w:kern w:val="2"/>
                <w:sz w:val="21"/>
                <w:szCs w:val="21"/>
                <w:lang w:val="en-US"/>
              </w:rPr>
            </w:pPr>
            <w:r w:rsidRPr="009D1752">
              <w:rPr>
                <w:color w:val="000000"/>
                <w:kern w:val="2"/>
                <w:sz w:val="21"/>
                <w:szCs w:val="21"/>
                <w:lang w:val="en-US"/>
              </w:rPr>
              <w:t xml:space="preserve"> 1,720</w:t>
            </w:r>
          </w:p>
        </w:tc>
        <w:tc>
          <w:tcPr>
            <w:tcW w:w="1276" w:type="dxa"/>
            <w:shd w:val="clear" w:color="000000" w:fill="FFFFFF"/>
            <w:noWrap/>
            <w:vAlign w:val="center"/>
          </w:tcPr>
          <w:p w14:paraId="26D20600" w14:textId="373F6E93" w:rsidR="008100AD" w:rsidRPr="009D1752" w:rsidRDefault="008100AD" w:rsidP="009D1752">
            <w:pPr>
              <w:jc w:val="right"/>
              <w:rPr>
                <w:color w:val="000000"/>
                <w:kern w:val="2"/>
                <w:sz w:val="21"/>
                <w:szCs w:val="21"/>
                <w:lang w:val="en-US"/>
              </w:rPr>
            </w:pPr>
            <w:r w:rsidRPr="009D1752">
              <w:rPr>
                <w:color w:val="000000"/>
                <w:kern w:val="2"/>
                <w:sz w:val="21"/>
                <w:szCs w:val="21"/>
                <w:lang w:val="en-US"/>
              </w:rPr>
              <w:t xml:space="preserve">         3</w:t>
            </w:r>
          </w:p>
        </w:tc>
        <w:tc>
          <w:tcPr>
            <w:tcW w:w="2805" w:type="dxa"/>
            <w:shd w:val="clear" w:color="auto" w:fill="auto"/>
            <w:vAlign w:val="center"/>
          </w:tcPr>
          <w:p w14:paraId="623CF747" w14:textId="77777777" w:rsidR="008100AD" w:rsidRPr="009D1752" w:rsidRDefault="008100AD" w:rsidP="008100AD">
            <w:pPr>
              <w:rPr>
                <w:rFonts w:eastAsia="华文楷体"/>
                <w:color w:val="000000"/>
                <w:sz w:val="22"/>
                <w:szCs w:val="22"/>
                <w:lang w:val="en-US"/>
              </w:rPr>
            </w:pPr>
            <w:r w:rsidRPr="009D1752">
              <w:rPr>
                <w:rFonts w:eastAsia="华文楷体"/>
                <w:color w:val="000000"/>
                <w:sz w:val="22"/>
                <w:szCs w:val="22"/>
                <w:lang w:val="en-US"/>
              </w:rPr>
              <w:t xml:space="preserve">   </w:t>
            </w:r>
          </w:p>
        </w:tc>
      </w:tr>
      <w:tr w:rsidR="008100AD" w:rsidRPr="00A836D8" w14:paraId="4C54E309" w14:textId="77777777" w:rsidTr="009D1752">
        <w:trPr>
          <w:trHeight w:val="330"/>
          <w:jc w:val="center"/>
        </w:trPr>
        <w:tc>
          <w:tcPr>
            <w:tcW w:w="2126" w:type="dxa"/>
            <w:shd w:val="clear" w:color="auto" w:fill="auto"/>
            <w:noWrap/>
            <w:vAlign w:val="center"/>
            <w:hideMark/>
          </w:tcPr>
          <w:p w14:paraId="602905D8" w14:textId="77777777" w:rsidR="008100AD" w:rsidRPr="009D1752" w:rsidRDefault="008100AD" w:rsidP="009D1752">
            <w:pPr>
              <w:rPr>
                <w:rFonts w:eastAsia="华文楷体"/>
                <w:color w:val="000000"/>
                <w:sz w:val="22"/>
                <w:szCs w:val="22"/>
                <w:lang w:val="en-US"/>
              </w:rPr>
            </w:pPr>
            <w:r w:rsidRPr="009D1752">
              <w:rPr>
                <w:color w:val="000000"/>
                <w:sz w:val="21"/>
                <w:szCs w:val="21"/>
                <w:lang w:val="en-US"/>
              </w:rPr>
              <w:t>Wanda</w:t>
            </w:r>
          </w:p>
        </w:tc>
        <w:tc>
          <w:tcPr>
            <w:tcW w:w="1134" w:type="dxa"/>
            <w:shd w:val="clear" w:color="000000" w:fill="FFFFFF"/>
            <w:noWrap/>
            <w:vAlign w:val="center"/>
            <w:hideMark/>
          </w:tcPr>
          <w:p w14:paraId="20D21DFD" w14:textId="77777777" w:rsidR="008100AD" w:rsidRPr="009D1752" w:rsidRDefault="008100AD" w:rsidP="009D1752">
            <w:pPr>
              <w:jc w:val="right"/>
              <w:rPr>
                <w:color w:val="000000"/>
                <w:kern w:val="2"/>
                <w:sz w:val="21"/>
                <w:szCs w:val="21"/>
                <w:lang w:val="en-US"/>
              </w:rPr>
            </w:pPr>
            <w:r w:rsidRPr="009D1752">
              <w:rPr>
                <w:color w:val="000000"/>
                <w:kern w:val="2"/>
                <w:sz w:val="21"/>
                <w:szCs w:val="21"/>
                <w:lang w:val="en-US"/>
              </w:rPr>
              <w:t xml:space="preserve">   2,154</w:t>
            </w:r>
          </w:p>
        </w:tc>
        <w:tc>
          <w:tcPr>
            <w:tcW w:w="1134" w:type="dxa"/>
            <w:shd w:val="clear" w:color="000000" w:fill="FFFFFF"/>
            <w:noWrap/>
            <w:vAlign w:val="center"/>
            <w:hideMark/>
          </w:tcPr>
          <w:p w14:paraId="37D549AE" w14:textId="727FDDA6" w:rsidR="008100AD" w:rsidRPr="009D1752" w:rsidRDefault="008100AD" w:rsidP="009D1752">
            <w:pPr>
              <w:jc w:val="right"/>
              <w:rPr>
                <w:color w:val="000000"/>
                <w:kern w:val="2"/>
                <w:sz w:val="21"/>
                <w:szCs w:val="21"/>
                <w:lang w:val="en-US"/>
              </w:rPr>
            </w:pPr>
            <w:r w:rsidRPr="009D1752">
              <w:rPr>
                <w:color w:val="000000"/>
                <w:kern w:val="2"/>
                <w:sz w:val="21"/>
                <w:szCs w:val="21"/>
                <w:lang w:val="en-US"/>
              </w:rPr>
              <w:t xml:space="preserve"> 2,310</w:t>
            </w:r>
          </w:p>
        </w:tc>
        <w:tc>
          <w:tcPr>
            <w:tcW w:w="1276" w:type="dxa"/>
            <w:shd w:val="clear" w:color="000000" w:fill="FFFFFF"/>
            <w:noWrap/>
            <w:vAlign w:val="center"/>
            <w:hideMark/>
          </w:tcPr>
          <w:p w14:paraId="0C7858BA" w14:textId="77777777" w:rsidR="008100AD" w:rsidRPr="009D1752" w:rsidRDefault="008100AD" w:rsidP="009D1752">
            <w:pPr>
              <w:jc w:val="right"/>
              <w:rPr>
                <w:color w:val="000000"/>
                <w:kern w:val="2"/>
                <w:sz w:val="21"/>
                <w:szCs w:val="21"/>
                <w:lang w:val="en-US"/>
              </w:rPr>
            </w:pPr>
            <w:r w:rsidRPr="009D1752">
              <w:rPr>
                <w:color w:val="000000"/>
                <w:kern w:val="2"/>
                <w:sz w:val="21"/>
                <w:szCs w:val="21"/>
                <w:lang w:val="en-US"/>
              </w:rPr>
              <w:t xml:space="preserve">      -156</w:t>
            </w:r>
          </w:p>
        </w:tc>
        <w:tc>
          <w:tcPr>
            <w:tcW w:w="2805" w:type="dxa"/>
            <w:shd w:val="clear" w:color="auto" w:fill="auto"/>
            <w:vAlign w:val="center"/>
            <w:hideMark/>
          </w:tcPr>
          <w:p w14:paraId="7FF09A1A" w14:textId="77777777" w:rsidR="008100AD" w:rsidRPr="009D1752" w:rsidRDefault="008100AD" w:rsidP="008100AD">
            <w:pPr>
              <w:rPr>
                <w:rFonts w:eastAsia="华文楷体"/>
                <w:color w:val="000000"/>
                <w:sz w:val="22"/>
                <w:szCs w:val="22"/>
                <w:lang w:val="en-US"/>
              </w:rPr>
            </w:pPr>
          </w:p>
        </w:tc>
      </w:tr>
      <w:tr w:rsidR="008100AD" w:rsidRPr="00A836D8" w14:paraId="43E1F23F" w14:textId="77777777" w:rsidTr="009D1752">
        <w:trPr>
          <w:trHeight w:val="70"/>
          <w:jc w:val="center"/>
        </w:trPr>
        <w:tc>
          <w:tcPr>
            <w:tcW w:w="2126" w:type="dxa"/>
            <w:shd w:val="clear" w:color="auto" w:fill="auto"/>
            <w:noWrap/>
            <w:vAlign w:val="center"/>
            <w:hideMark/>
          </w:tcPr>
          <w:p w14:paraId="6F96B964" w14:textId="77777777" w:rsidR="008100AD" w:rsidRPr="009D1752" w:rsidRDefault="008100AD" w:rsidP="009D1752">
            <w:pPr>
              <w:rPr>
                <w:rFonts w:eastAsia="华文楷体"/>
                <w:color w:val="000000"/>
                <w:sz w:val="22"/>
                <w:szCs w:val="22"/>
                <w:lang w:val="en-US"/>
              </w:rPr>
            </w:pPr>
            <w:r w:rsidRPr="009D1752">
              <w:rPr>
                <w:color w:val="000000"/>
                <w:sz w:val="21"/>
                <w:szCs w:val="21"/>
                <w:lang w:val="en-US"/>
              </w:rPr>
              <w:lastRenderedPageBreak/>
              <w:t xml:space="preserve">Wenzhou </w:t>
            </w:r>
            <w:proofErr w:type="spellStart"/>
            <w:r w:rsidRPr="009D1752">
              <w:rPr>
                <w:color w:val="000000"/>
                <w:sz w:val="21"/>
                <w:szCs w:val="21"/>
                <w:lang w:val="en-US"/>
              </w:rPr>
              <w:t>Jidian</w:t>
            </w:r>
            <w:proofErr w:type="spellEnd"/>
          </w:p>
        </w:tc>
        <w:tc>
          <w:tcPr>
            <w:tcW w:w="1134" w:type="dxa"/>
            <w:shd w:val="clear" w:color="auto" w:fill="auto"/>
            <w:noWrap/>
            <w:vAlign w:val="center"/>
            <w:hideMark/>
          </w:tcPr>
          <w:p w14:paraId="04532B77" w14:textId="4FCD7A27" w:rsidR="008100AD" w:rsidRPr="009D1752" w:rsidRDefault="008100AD" w:rsidP="009D1752">
            <w:pPr>
              <w:jc w:val="right"/>
              <w:rPr>
                <w:color w:val="000000"/>
                <w:kern w:val="2"/>
                <w:sz w:val="21"/>
                <w:szCs w:val="21"/>
                <w:lang w:val="en-US"/>
              </w:rPr>
            </w:pPr>
            <w:r w:rsidRPr="009D1752">
              <w:rPr>
                <w:color w:val="000000"/>
                <w:kern w:val="2"/>
                <w:sz w:val="21"/>
                <w:szCs w:val="21"/>
                <w:lang w:val="en-US"/>
              </w:rPr>
              <w:t xml:space="preserve">  425</w:t>
            </w:r>
          </w:p>
        </w:tc>
        <w:tc>
          <w:tcPr>
            <w:tcW w:w="1134" w:type="dxa"/>
            <w:shd w:val="clear" w:color="auto" w:fill="auto"/>
            <w:noWrap/>
            <w:vAlign w:val="center"/>
            <w:hideMark/>
          </w:tcPr>
          <w:p w14:paraId="05B72AB5" w14:textId="06CA91BC" w:rsidR="008100AD" w:rsidRPr="009D1752" w:rsidRDefault="008100AD" w:rsidP="009D1752">
            <w:pPr>
              <w:jc w:val="right"/>
              <w:rPr>
                <w:color w:val="000000"/>
                <w:kern w:val="2"/>
                <w:sz w:val="21"/>
                <w:szCs w:val="21"/>
                <w:lang w:val="en-US"/>
              </w:rPr>
            </w:pPr>
            <w:r w:rsidRPr="009D1752">
              <w:rPr>
                <w:color w:val="000000"/>
                <w:kern w:val="2"/>
                <w:sz w:val="21"/>
                <w:szCs w:val="21"/>
                <w:lang w:val="en-US"/>
              </w:rPr>
              <w:t>420</w:t>
            </w:r>
          </w:p>
        </w:tc>
        <w:tc>
          <w:tcPr>
            <w:tcW w:w="1276" w:type="dxa"/>
            <w:shd w:val="clear" w:color="auto" w:fill="auto"/>
            <w:noWrap/>
            <w:vAlign w:val="center"/>
            <w:hideMark/>
          </w:tcPr>
          <w:p w14:paraId="5EEE1740" w14:textId="77777777" w:rsidR="008100AD" w:rsidRPr="009D1752" w:rsidRDefault="008100AD" w:rsidP="009D1752">
            <w:pPr>
              <w:ind w:firstLineChars="300" w:firstLine="630"/>
              <w:jc w:val="right"/>
              <w:rPr>
                <w:color w:val="000000"/>
                <w:kern w:val="2"/>
                <w:sz w:val="21"/>
                <w:szCs w:val="21"/>
                <w:lang w:val="en-US"/>
              </w:rPr>
            </w:pPr>
            <w:r w:rsidRPr="009D1752">
              <w:rPr>
                <w:color w:val="000000"/>
                <w:kern w:val="2"/>
                <w:sz w:val="21"/>
                <w:szCs w:val="21"/>
                <w:lang w:val="en-US"/>
              </w:rPr>
              <w:t>5</w:t>
            </w:r>
          </w:p>
        </w:tc>
        <w:tc>
          <w:tcPr>
            <w:tcW w:w="2805" w:type="dxa"/>
            <w:shd w:val="clear" w:color="auto" w:fill="auto"/>
            <w:vAlign w:val="center"/>
            <w:hideMark/>
          </w:tcPr>
          <w:p w14:paraId="6EFEE69C" w14:textId="77777777" w:rsidR="008100AD" w:rsidRPr="009D1752" w:rsidRDefault="008100AD" w:rsidP="008100AD">
            <w:pPr>
              <w:rPr>
                <w:rFonts w:eastAsia="华文楷体"/>
                <w:color w:val="000000"/>
                <w:sz w:val="22"/>
                <w:szCs w:val="22"/>
                <w:lang w:val="en-US"/>
              </w:rPr>
            </w:pPr>
            <w:r w:rsidRPr="009D1752">
              <w:rPr>
                <w:rFonts w:eastAsia="华文楷体" w:hint="eastAsia"/>
                <w:color w:val="000000"/>
                <w:sz w:val="22"/>
                <w:szCs w:val="22"/>
                <w:lang w:val="en-US"/>
              </w:rPr>
              <w:t xml:space="preserve">　</w:t>
            </w:r>
          </w:p>
        </w:tc>
      </w:tr>
      <w:tr w:rsidR="002F78C7" w:rsidRPr="00A836D8" w14:paraId="0A458CF7" w14:textId="77777777" w:rsidTr="002F78C7">
        <w:trPr>
          <w:trHeight w:val="70"/>
          <w:jc w:val="center"/>
        </w:trPr>
        <w:tc>
          <w:tcPr>
            <w:tcW w:w="2126" w:type="dxa"/>
            <w:shd w:val="clear" w:color="auto" w:fill="auto"/>
            <w:noWrap/>
            <w:vAlign w:val="center"/>
          </w:tcPr>
          <w:p w14:paraId="4E17333A" w14:textId="77777777" w:rsidR="008100AD" w:rsidRPr="009D1752" w:rsidRDefault="008100AD" w:rsidP="009D1752">
            <w:pPr>
              <w:rPr>
                <w:color w:val="000000"/>
                <w:sz w:val="21"/>
                <w:szCs w:val="21"/>
                <w:lang w:val="en-US"/>
              </w:rPr>
            </w:pPr>
            <w:proofErr w:type="spellStart"/>
            <w:r w:rsidRPr="009D1752">
              <w:rPr>
                <w:color w:val="000000"/>
                <w:sz w:val="21"/>
                <w:szCs w:val="21"/>
                <w:lang w:val="en-US"/>
              </w:rPr>
              <w:t>Yancoal</w:t>
            </w:r>
            <w:proofErr w:type="spellEnd"/>
          </w:p>
        </w:tc>
        <w:tc>
          <w:tcPr>
            <w:tcW w:w="1134" w:type="dxa"/>
            <w:shd w:val="clear" w:color="auto" w:fill="auto"/>
            <w:noWrap/>
            <w:vAlign w:val="center"/>
          </w:tcPr>
          <w:p w14:paraId="6B1517D4" w14:textId="2FFF8C8A" w:rsidR="008100AD" w:rsidRPr="009D1752" w:rsidRDefault="008100AD" w:rsidP="009D1752">
            <w:pPr>
              <w:jc w:val="right"/>
              <w:rPr>
                <w:color w:val="000000"/>
                <w:sz w:val="21"/>
                <w:szCs w:val="21"/>
                <w:lang w:val="en-US"/>
              </w:rPr>
            </w:pPr>
            <w:r w:rsidRPr="009D1752">
              <w:rPr>
                <w:color w:val="000000"/>
                <w:sz w:val="21"/>
                <w:szCs w:val="21"/>
                <w:lang w:val="en-US"/>
              </w:rPr>
              <w:t>16,728</w:t>
            </w:r>
          </w:p>
        </w:tc>
        <w:tc>
          <w:tcPr>
            <w:tcW w:w="1134" w:type="dxa"/>
            <w:shd w:val="clear" w:color="auto" w:fill="auto"/>
            <w:noWrap/>
            <w:vAlign w:val="center"/>
          </w:tcPr>
          <w:p w14:paraId="233FFF1A" w14:textId="0F5833AB" w:rsidR="008100AD" w:rsidRPr="009D1752" w:rsidRDefault="008100AD" w:rsidP="009D1752">
            <w:pPr>
              <w:jc w:val="right"/>
              <w:rPr>
                <w:color w:val="000000"/>
                <w:sz w:val="21"/>
                <w:szCs w:val="21"/>
                <w:lang w:val="en-US"/>
              </w:rPr>
            </w:pPr>
            <w:r w:rsidRPr="009D1752">
              <w:rPr>
                <w:color w:val="000000"/>
                <w:sz w:val="21"/>
                <w:szCs w:val="21"/>
                <w:lang w:val="en-US"/>
              </w:rPr>
              <w:t>16,140</w:t>
            </w:r>
          </w:p>
        </w:tc>
        <w:tc>
          <w:tcPr>
            <w:tcW w:w="1276" w:type="dxa"/>
            <w:shd w:val="clear" w:color="auto" w:fill="auto"/>
            <w:noWrap/>
            <w:vAlign w:val="center"/>
          </w:tcPr>
          <w:p w14:paraId="692A4F40"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588</w:t>
            </w:r>
          </w:p>
        </w:tc>
        <w:tc>
          <w:tcPr>
            <w:tcW w:w="2805" w:type="dxa"/>
            <w:shd w:val="clear" w:color="auto" w:fill="auto"/>
            <w:vAlign w:val="center"/>
          </w:tcPr>
          <w:p w14:paraId="172F3D0B" w14:textId="6AA2A69D" w:rsidR="008100AD" w:rsidRPr="009D1752" w:rsidRDefault="008100AD" w:rsidP="009D1752">
            <w:pPr>
              <w:rPr>
                <w:color w:val="000000"/>
                <w:sz w:val="21"/>
                <w:szCs w:val="21"/>
                <w:lang w:val="en-US"/>
              </w:rPr>
            </w:pPr>
            <w:r>
              <w:rPr>
                <w:rFonts w:hint="eastAsia"/>
                <w:color w:val="000000"/>
                <w:sz w:val="21"/>
                <w:szCs w:val="21"/>
                <w:lang w:val="en-US"/>
              </w:rPr>
              <w:t>E</w:t>
            </w:r>
            <w:r>
              <w:rPr>
                <w:color w:val="000000"/>
                <w:sz w:val="21"/>
                <w:szCs w:val="21"/>
                <w:lang w:val="en-US"/>
              </w:rPr>
              <w:t xml:space="preserve">xchange rate </w:t>
            </w:r>
            <w:r w:rsidRPr="008100AD">
              <w:rPr>
                <w:color w:val="000000"/>
                <w:sz w:val="21"/>
                <w:szCs w:val="21"/>
                <w:lang w:val="en-US"/>
              </w:rPr>
              <w:t>fluctuation</w:t>
            </w:r>
          </w:p>
        </w:tc>
      </w:tr>
      <w:tr w:rsidR="002F78C7" w:rsidRPr="00A836D8" w14:paraId="2AD52BD6" w14:textId="77777777" w:rsidTr="002F78C7">
        <w:trPr>
          <w:trHeight w:val="70"/>
          <w:jc w:val="center"/>
        </w:trPr>
        <w:tc>
          <w:tcPr>
            <w:tcW w:w="2126" w:type="dxa"/>
            <w:shd w:val="clear" w:color="auto" w:fill="auto"/>
            <w:noWrap/>
            <w:vAlign w:val="center"/>
          </w:tcPr>
          <w:p w14:paraId="293D9B86" w14:textId="77777777" w:rsidR="008100AD" w:rsidRPr="009D1752" w:rsidRDefault="008100AD" w:rsidP="009D1752">
            <w:pPr>
              <w:rPr>
                <w:color w:val="000000"/>
                <w:sz w:val="21"/>
                <w:szCs w:val="21"/>
                <w:lang w:val="en-US"/>
              </w:rPr>
            </w:pPr>
            <w:r w:rsidRPr="009D1752">
              <w:rPr>
                <w:color w:val="000000"/>
                <w:sz w:val="21"/>
                <w:szCs w:val="21"/>
                <w:lang w:val="en-US"/>
              </w:rPr>
              <w:t>Budapest Water</w:t>
            </w:r>
          </w:p>
        </w:tc>
        <w:tc>
          <w:tcPr>
            <w:tcW w:w="1134" w:type="dxa"/>
            <w:shd w:val="clear" w:color="auto" w:fill="auto"/>
            <w:noWrap/>
            <w:vAlign w:val="center"/>
          </w:tcPr>
          <w:p w14:paraId="3B843B92" w14:textId="6E6E6C34" w:rsidR="008100AD" w:rsidRPr="009D1752" w:rsidRDefault="008100AD" w:rsidP="009D1752">
            <w:pPr>
              <w:jc w:val="right"/>
              <w:rPr>
                <w:color w:val="000000"/>
                <w:sz w:val="21"/>
                <w:szCs w:val="21"/>
                <w:lang w:val="en-US"/>
              </w:rPr>
            </w:pPr>
            <w:r w:rsidRPr="009D1752">
              <w:rPr>
                <w:color w:val="000000"/>
                <w:sz w:val="21"/>
                <w:szCs w:val="21"/>
                <w:lang w:val="en-US"/>
              </w:rPr>
              <w:t xml:space="preserve">       0</w:t>
            </w:r>
          </w:p>
        </w:tc>
        <w:tc>
          <w:tcPr>
            <w:tcW w:w="1134" w:type="dxa"/>
            <w:shd w:val="clear" w:color="auto" w:fill="auto"/>
            <w:noWrap/>
            <w:vAlign w:val="center"/>
          </w:tcPr>
          <w:p w14:paraId="5AEE2C59" w14:textId="54EFE3BF" w:rsidR="008100AD" w:rsidRPr="009D1752" w:rsidRDefault="008100AD" w:rsidP="009D1752">
            <w:pPr>
              <w:jc w:val="right"/>
              <w:rPr>
                <w:color w:val="000000"/>
                <w:sz w:val="21"/>
                <w:szCs w:val="21"/>
                <w:lang w:val="en-US"/>
              </w:rPr>
            </w:pPr>
            <w:r w:rsidRPr="009D1752">
              <w:rPr>
                <w:color w:val="000000"/>
                <w:sz w:val="21"/>
                <w:szCs w:val="21"/>
                <w:lang w:val="en-US"/>
              </w:rPr>
              <w:t xml:space="preserve">    1,190</w:t>
            </w:r>
          </w:p>
        </w:tc>
        <w:tc>
          <w:tcPr>
            <w:tcW w:w="1276" w:type="dxa"/>
            <w:shd w:val="clear" w:color="auto" w:fill="auto"/>
            <w:noWrap/>
            <w:vAlign w:val="center"/>
          </w:tcPr>
          <w:p w14:paraId="7E284A24"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-1,190</w:t>
            </w:r>
          </w:p>
        </w:tc>
        <w:tc>
          <w:tcPr>
            <w:tcW w:w="2805" w:type="dxa"/>
            <w:shd w:val="clear" w:color="auto" w:fill="auto"/>
            <w:vAlign w:val="center"/>
          </w:tcPr>
          <w:p w14:paraId="6AB131EC" w14:textId="32D093C5" w:rsidR="008100AD" w:rsidRPr="009D1752" w:rsidRDefault="008100AD" w:rsidP="009D1752">
            <w:pPr>
              <w:rPr>
                <w:color w:val="000000"/>
                <w:sz w:val="21"/>
                <w:szCs w:val="21"/>
                <w:lang w:val="en-US"/>
              </w:rPr>
            </w:pPr>
            <w:r>
              <w:rPr>
                <w:rFonts w:hint="eastAsia"/>
                <w:color w:val="000000"/>
                <w:sz w:val="21"/>
                <w:szCs w:val="21"/>
                <w:lang w:val="en-US"/>
              </w:rPr>
              <w:t>P</w:t>
            </w:r>
            <w:r>
              <w:rPr>
                <w:color w:val="000000"/>
                <w:sz w:val="21"/>
                <w:szCs w:val="21"/>
                <w:lang w:val="en-US"/>
              </w:rPr>
              <w:t xml:space="preserve">roject suspended </w:t>
            </w:r>
          </w:p>
        </w:tc>
      </w:tr>
      <w:tr w:rsidR="002F78C7" w:rsidRPr="008100AD" w14:paraId="61304709" w14:textId="77777777" w:rsidTr="002F78C7">
        <w:trPr>
          <w:trHeight w:val="70"/>
          <w:jc w:val="center"/>
        </w:trPr>
        <w:tc>
          <w:tcPr>
            <w:tcW w:w="2126" w:type="dxa"/>
            <w:shd w:val="clear" w:color="auto" w:fill="auto"/>
            <w:noWrap/>
            <w:vAlign w:val="center"/>
          </w:tcPr>
          <w:p w14:paraId="4EFF894F" w14:textId="77777777" w:rsidR="008100AD" w:rsidRPr="009D1752" w:rsidRDefault="003D1EC6" w:rsidP="009D1752">
            <w:pPr>
              <w:rPr>
                <w:color w:val="000000"/>
                <w:sz w:val="21"/>
                <w:szCs w:val="21"/>
                <w:lang w:val="en-US"/>
              </w:rPr>
            </w:pPr>
            <w:hyperlink r:id="rId10" w:tgtFrame="_blank" w:history="1">
              <w:r w:rsidR="008100AD" w:rsidRPr="009D1752">
                <w:rPr>
                  <w:color w:val="000000"/>
                  <w:sz w:val="21"/>
                  <w:szCs w:val="21"/>
                  <w:lang w:val="en-US"/>
                </w:rPr>
                <w:t>China Reinsurance</w:t>
              </w:r>
            </w:hyperlink>
            <w:r w:rsidR="008100AD" w:rsidRPr="009D1752">
              <w:rPr>
                <w:color w:val="000000"/>
                <w:sz w:val="21"/>
                <w:szCs w:val="21"/>
                <w:lang w:val="en-US"/>
              </w:rPr>
              <w:t xml:space="preserve">    </w:t>
            </w:r>
          </w:p>
        </w:tc>
        <w:tc>
          <w:tcPr>
            <w:tcW w:w="1134" w:type="dxa"/>
            <w:shd w:val="clear" w:color="auto" w:fill="auto"/>
            <w:noWrap/>
            <w:vAlign w:val="center"/>
          </w:tcPr>
          <w:p w14:paraId="3C436A00" w14:textId="061CE282" w:rsidR="008100AD" w:rsidRPr="009D1752" w:rsidRDefault="008100AD" w:rsidP="009D1752">
            <w:pPr>
              <w:ind w:right="105"/>
              <w:jc w:val="right"/>
              <w:rPr>
                <w:color w:val="000000"/>
                <w:sz w:val="21"/>
                <w:szCs w:val="21"/>
                <w:lang w:val="en-US"/>
              </w:rPr>
            </w:pPr>
            <w:r w:rsidRPr="009D1752">
              <w:rPr>
                <w:color w:val="000000"/>
                <w:sz w:val="21"/>
                <w:szCs w:val="21"/>
                <w:lang w:val="en-US"/>
              </w:rPr>
              <w:t>0</w:t>
            </w:r>
          </w:p>
        </w:tc>
        <w:tc>
          <w:tcPr>
            <w:tcW w:w="1134" w:type="dxa"/>
            <w:shd w:val="clear" w:color="auto" w:fill="auto"/>
            <w:noWrap/>
            <w:vAlign w:val="center"/>
          </w:tcPr>
          <w:p w14:paraId="014654BA" w14:textId="31FB54EC" w:rsidR="008100AD" w:rsidRPr="009D1752" w:rsidRDefault="008100AD" w:rsidP="009D1752">
            <w:pPr>
              <w:jc w:val="right"/>
              <w:rPr>
                <w:color w:val="000000"/>
                <w:sz w:val="21"/>
                <w:szCs w:val="21"/>
                <w:lang w:val="en-US"/>
              </w:rPr>
            </w:pPr>
            <w:r w:rsidRPr="009D1752">
              <w:rPr>
                <w:color w:val="000000"/>
                <w:sz w:val="21"/>
                <w:szCs w:val="21"/>
                <w:lang w:val="en-US"/>
              </w:rPr>
              <w:t xml:space="preserve">    230</w:t>
            </w:r>
          </w:p>
        </w:tc>
        <w:tc>
          <w:tcPr>
            <w:tcW w:w="1276" w:type="dxa"/>
            <w:shd w:val="clear" w:color="auto" w:fill="auto"/>
            <w:noWrap/>
            <w:vAlign w:val="center"/>
          </w:tcPr>
          <w:p w14:paraId="022D0511"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-230</w:t>
            </w:r>
          </w:p>
        </w:tc>
        <w:tc>
          <w:tcPr>
            <w:tcW w:w="2805" w:type="dxa"/>
            <w:shd w:val="clear" w:color="auto" w:fill="auto"/>
            <w:vAlign w:val="center"/>
          </w:tcPr>
          <w:p w14:paraId="14281813" w14:textId="59EC8A09" w:rsidR="008100AD" w:rsidRPr="009D1752" w:rsidRDefault="00E54534" w:rsidP="00E54534">
            <w:pPr>
              <w:rPr>
                <w:color w:val="000000"/>
                <w:sz w:val="21"/>
                <w:szCs w:val="21"/>
                <w:lang w:val="en-US"/>
              </w:rPr>
            </w:pPr>
            <w:r>
              <w:rPr>
                <w:color w:val="000000"/>
                <w:sz w:val="21"/>
                <w:szCs w:val="21"/>
                <w:lang w:val="en-US"/>
              </w:rPr>
              <w:t>Waiver of management fees due to poor stock performance</w:t>
            </w:r>
          </w:p>
        </w:tc>
      </w:tr>
      <w:tr w:rsidR="008100AD" w:rsidRPr="00A836D8" w14:paraId="63D2C47F" w14:textId="77777777" w:rsidTr="009D1752">
        <w:trPr>
          <w:trHeight w:val="70"/>
          <w:jc w:val="center"/>
        </w:trPr>
        <w:tc>
          <w:tcPr>
            <w:tcW w:w="2126" w:type="dxa"/>
            <w:shd w:val="clear" w:color="auto" w:fill="auto"/>
            <w:noWrap/>
            <w:vAlign w:val="center"/>
          </w:tcPr>
          <w:p w14:paraId="14220352" w14:textId="77777777" w:rsidR="008100AD" w:rsidRPr="009D1752" w:rsidRDefault="008100AD" w:rsidP="009D1752">
            <w:pPr>
              <w:rPr>
                <w:color w:val="000000"/>
                <w:sz w:val="21"/>
                <w:szCs w:val="21"/>
                <w:lang w:val="en-US"/>
              </w:rPr>
            </w:pPr>
            <w:r w:rsidRPr="009D1752">
              <w:rPr>
                <w:color w:val="000000"/>
                <w:sz w:val="21"/>
                <w:szCs w:val="21"/>
                <w:lang w:val="en-US"/>
              </w:rPr>
              <w:t>Face++</w:t>
            </w:r>
          </w:p>
        </w:tc>
        <w:tc>
          <w:tcPr>
            <w:tcW w:w="1134" w:type="dxa"/>
            <w:shd w:val="clear" w:color="auto" w:fill="auto"/>
            <w:noWrap/>
            <w:vAlign w:val="center"/>
          </w:tcPr>
          <w:p w14:paraId="77E610E4"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748</w:t>
            </w:r>
          </w:p>
        </w:tc>
        <w:tc>
          <w:tcPr>
            <w:tcW w:w="1134" w:type="dxa"/>
            <w:shd w:val="clear" w:color="auto" w:fill="auto"/>
            <w:noWrap/>
            <w:vAlign w:val="center"/>
          </w:tcPr>
          <w:p w14:paraId="5022EC32" w14:textId="12809CDD" w:rsidR="008100AD" w:rsidRPr="009D1752" w:rsidRDefault="008100AD" w:rsidP="009D1752">
            <w:pPr>
              <w:jc w:val="right"/>
              <w:rPr>
                <w:color w:val="000000"/>
                <w:sz w:val="21"/>
                <w:szCs w:val="21"/>
                <w:lang w:val="en-US"/>
              </w:rPr>
            </w:pPr>
            <w:r w:rsidRPr="009D1752">
              <w:rPr>
                <w:color w:val="000000"/>
                <w:sz w:val="21"/>
                <w:szCs w:val="21"/>
                <w:lang w:val="en-US"/>
              </w:rPr>
              <w:t>2,050</w:t>
            </w:r>
          </w:p>
        </w:tc>
        <w:tc>
          <w:tcPr>
            <w:tcW w:w="1276" w:type="dxa"/>
            <w:shd w:val="clear" w:color="auto" w:fill="auto"/>
            <w:noWrap/>
            <w:vAlign w:val="center"/>
          </w:tcPr>
          <w:p w14:paraId="66CC0D42"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-1,302</w:t>
            </w:r>
          </w:p>
        </w:tc>
        <w:tc>
          <w:tcPr>
            <w:tcW w:w="2805" w:type="dxa"/>
            <w:shd w:val="clear" w:color="auto" w:fill="auto"/>
            <w:vAlign w:val="center"/>
          </w:tcPr>
          <w:p w14:paraId="3D2587AD" w14:textId="4C920AEA" w:rsidR="008100AD" w:rsidRPr="009D1752" w:rsidRDefault="008100AD" w:rsidP="008100AD">
            <w:pPr>
              <w:rPr>
                <w:color w:val="000000"/>
                <w:sz w:val="21"/>
                <w:szCs w:val="21"/>
                <w:lang w:val="en-US"/>
              </w:rPr>
            </w:pPr>
            <w:r>
              <w:rPr>
                <w:color w:val="000000"/>
                <w:sz w:val="21"/>
                <w:szCs w:val="21"/>
                <w:lang w:val="en-US"/>
              </w:rPr>
              <w:t xml:space="preserve">Adjusted due to </w:t>
            </w:r>
            <w:r w:rsidRPr="006B3138">
              <w:rPr>
                <w:color w:val="000000"/>
                <w:sz w:val="21"/>
                <w:szCs w:val="21"/>
                <w:lang w:val="en-US"/>
              </w:rPr>
              <w:t>income recognition</w:t>
            </w:r>
            <w:r>
              <w:rPr>
                <w:color w:val="000000"/>
                <w:sz w:val="21"/>
                <w:szCs w:val="21"/>
                <w:lang w:val="en-US"/>
              </w:rPr>
              <w:t xml:space="preserve"> period</w:t>
            </w:r>
          </w:p>
        </w:tc>
      </w:tr>
      <w:tr w:rsidR="008100AD" w:rsidRPr="00A836D8" w14:paraId="47F46766" w14:textId="77777777" w:rsidTr="009D1752">
        <w:trPr>
          <w:trHeight w:val="70"/>
          <w:jc w:val="center"/>
        </w:trPr>
        <w:tc>
          <w:tcPr>
            <w:tcW w:w="2126" w:type="dxa"/>
            <w:shd w:val="clear" w:color="auto" w:fill="auto"/>
            <w:noWrap/>
            <w:vAlign w:val="center"/>
          </w:tcPr>
          <w:p w14:paraId="27C9355F" w14:textId="77777777" w:rsidR="008100AD" w:rsidRPr="009D1752" w:rsidRDefault="008100AD" w:rsidP="009D1752">
            <w:pPr>
              <w:rPr>
                <w:color w:val="000000"/>
                <w:sz w:val="21"/>
                <w:szCs w:val="21"/>
                <w:lang w:val="en-US"/>
              </w:rPr>
            </w:pPr>
            <w:r w:rsidRPr="009D1752">
              <w:rPr>
                <w:color w:val="000000"/>
                <w:sz w:val="21"/>
                <w:szCs w:val="21"/>
                <w:lang w:val="en-US"/>
              </w:rPr>
              <w:t>Sinopec dividend</w:t>
            </w:r>
          </w:p>
        </w:tc>
        <w:tc>
          <w:tcPr>
            <w:tcW w:w="1134" w:type="dxa"/>
            <w:shd w:val="clear" w:color="auto" w:fill="auto"/>
            <w:noWrap/>
            <w:vAlign w:val="center"/>
          </w:tcPr>
          <w:p w14:paraId="6D11534D"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430</w:t>
            </w:r>
          </w:p>
        </w:tc>
        <w:tc>
          <w:tcPr>
            <w:tcW w:w="1134" w:type="dxa"/>
            <w:shd w:val="clear" w:color="auto" w:fill="auto"/>
            <w:noWrap/>
            <w:vAlign w:val="center"/>
          </w:tcPr>
          <w:p w14:paraId="4CB5B05A" w14:textId="2A5B38C4" w:rsidR="008100AD" w:rsidRPr="009D1752" w:rsidRDefault="008100AD" w:rsidP="009D1752">
            <w:pPr>
              <w:jc w:val="right"/>
              <w:rPr>
                <w:color w:val="000000"/>
                <w:sz w:val="21"/>
                <w:szCs w:val="21"/>
                <w:lang w:val="en-US"/>
              </w:rPr>
            </w:pPr>
            <w:r w:rsidRPr="009D1752">
              <w:rPr>
                <w:color w:val="000000"/>
                <w:sz w:val="21"/>
                <w:szCs w:val="21"/>
                <w:lang w:val="en-US"/>
              </w:rPr>
              <w:t>80</w:t>
            </w:r>
          </w:p>
        </w:tc>
        <w:tc>
          <w:tcPr>
            <w:tcW w:w="1276" w:type="dxa"/>
            <w:shd w:val="clear" w:color="auto" w:fill="auto"/>
            <w:noWrap/>
            <w:vAlign w:val="center"/>
          </w:tcPr>
          <w:p w14:paraId="713B3E70"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350</w:t>
            </w:r>
          </w:p>
        </w:tc>
        <w:tc>
          <w:tcPr>
            <w:tcW w:w="2805" w:type="dxa"/>
            <w:shd w:val="clear" w:color="auto" w:fill="auto"/>
            <w:vAlign w:val="center"/>
          </w:tcPr>
          <w:p w14:paraId="08D7556A" w14:textId="6EF41CE1" w:rsidR="008100AD" w:rsidRPr="009D1752" w:rsidRDefault="008100AD" w:rsidP="008100AD">
            <w:pPr>
              <w:rPr>
                <w:color w:val="000000"/>
                <w:sz w:val="21"/>
                <w:szCs w:val="21"/>
                <w:lang w:val="en-US"/>
              </w:rPr>
            </w:pPr>
            <w:r w:rsidRPr="009D1752">
              <w:rPr>
                <w:color w:val="000000"/>
                <w:sz w:val="21"/>
                <w:szCs w:val="21"/>
                <w:lang w:val="en-US"/>
              </w:rPr>
              <w:t xml:space="preserve">    </w:t>
            </w:r>
          </w:p>
        </w:tc>
      </w:tr>
      <w:tr w:rsidR="008100AD" w:rsidRPr="00A836D8" w14:paraId="73722699" w14:textId="77777777" w:rsidTr="009D1752">
        <w:trPr>
          <w:trHeight w:val="97"/>
          <w:jc w:val="center"/>
        </w:trPr>
        <w:tc>
          <w:tcPr>
            <w:tcW w:w="2126" w:type="dxa"/>
            <w:shd w:val="clear" w:color="auto" w:fill="auto"/>
            <w:noWrap/>
            <w:vAlign w:val="center"/>
          </w:tcPr>
          <w:p w14:paraId="062F8E1F" w14:textId="6795AE49" w:rsidR="008100AD" w:rsidRPr="009D1752" w:rsidRDefault="008100AD" w:rsidP="009D1752">
            <w:pPr>
              <w:rPr>
                <w:color w:val="000000"/>
                <w:sz w:val="21"/>
                <w:szCs w:val="21"/>
                <w:lang w:val="en-US"/>
              </w:rPr>
            </w:pPr>
            <w:r>
              <w:rPr>
                <w:color w:val="000000"/>
                <w:sz w:val="21"/>
                <w:szCs w:val="21"/>
                <w:lang w:val="en-US"/>
              </w:rPr>
              <w:t>West</w:t>
            </w:r>
            <w:r w:rsidRPr="009D1752">
              <w:rPr>
                <w:color w:val="000000"/>
                <w:sz w:val="21"/>
                <w:szCs w:val="21"/>
                <w:lang w:val="en-US"/>
              </w:rPr>
              <w:t xml:space="preserve"> Dairy</w:t>
            </w:r>
          </w:p>
        </w:tc>
        <w:tc>
          <w:tcPr>
            <w:tcW w:w="1134" w:type="dxa"/>
            <w:shd w:val="clear" w:color="auto" w:fill="auto"/>
            <w:noWrap/>
            <w:vAlign w:val="center"/>
          </w:tcPr>
          <w:p w14:paraId="696BFB79"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2,229</w:t>
            </w:r>
          </w:p>
        </w:tc>
        <w:tc>
          <w:tcPr>
            <w:tcW w:w="1134" w:type="dxa"/>
            <w:shd w:val="clear" w:color="auto" w:fill="auto"/>
            <w:noWrap/>
            <w:vAlign w:val="center"/>
          </w:tcPr>
          <w:p w14:paraId="6E9B4458" w14:textId="3352D6AC" w:rsidR="008100AD" w:rsidRPr="009D1752" w:rsidRDefault="008100AD" w:rsidP="009D1752">
            <w:pPr>
              <w:jc w:val="right"/>
              <w:rPr>
                <w:color w:val="000000"/>
                <w:sz w:val="21"/>
                <w:szCs w:val="21"/>
                <w:lang w:val="en-US"/>
              </w:rPr>
            </w:pPr>
            <w:r w:rsidRPr="009D1752">
              <w:rPr>
                <w:color w:val="000000"/>
                <w:sz w:val="21"/>
                <w:szCs w:val="21"/>
                <w:lang w:val="en-US"/>
              </w:rPr>
              <w:t>0</w:t>
            </w:r>
          </w:p>
        </w:tc>
        <w:tc>
          <w:tcPr>
            <w:tcW w:w="1276" w:type="dxa"/>
            <w:shd w:val="clear" w:color="auto" w:fill="auto"/>
            <w:noWrap/>
            <w:vAlign w:val="center"/>
          </w:tcPr>
          <w:p w14:paraId="5599D9AE"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2,229</w:t>
            </w:r>
          </w:p>
        </w:tc>
        <w:tc>
          <w:tcPr>
            <w:tcW w:w="2805" w:type="dxa"/>
            <w:shd w:val="clear" w:color="auto" w:fill="auto"/>
            <w:vAlign w:val="center"/>
          </w:tcPr>
          <w:p w14:paraId="0A40CFD7" w14:textId="62785E06" w:rsidR="008100AD" w:rsidRPr="009D1752" w:rsidRDefault="008100AD" w:rsidP="008100AD">
            <w:pPr>
              <w:rPr>
                <w:color w:val="000000"/>
                <w:sz w:val="21"/>
                <w:szCs w:val="21"/>
                <w:lang w:val="en-US"/>
              </w:rPr>
            </w:pPr>
            <w:r>
              <w:rPr>
                <w:color w:val="000000"/>
                <w:sz w:val="21"/>
                <w:szCs w:val="21"/>
                <w:lang w:val="en-US"/>
              </w:rPr>
              <w:t>new project</w:t>
            </w:r>
          </w:p>
        </w:tc>
      </w:tr>
      <w:tr w:rsidR="008100AD" w:rsidRPr="00A836D8" w14:paraId="45D38CE5" w14:textId="77777777" w:rsidTr="009D1752">
        <w:trPr>
          <w:trHeight w:val="89"/>
          <w:jc w:val="center"/>
        </w:trPr>
        <w:tc>
          <w:tcPr>
            <w:tcW w:w="2126" w:type="dxa"/>
            <w:shd w:val="clear" w:color="auto" w:fill="auto"/>
            <w:noWrap/>
            <w:vAlign w:val="center"/>
          </w:tcPr>
          <w:p w14:paraId="7D3F9DF6" w14:textId="77777777" w:rsidR="008100AD" w:rsidRPr="009D1752" w:rsidRDefault="008100AD" w:rsidP="009D1752">
            <w:pPr>
              <w:rPr>
                <w:color w:val="000000"/>
                <w:sz w:val="21"/>
                <w:szCs w:val="21"/>
                <w:lang w:val="en-US"/>
              </w:rPr>
            </w:pPr>
            <w:r w:rsidRPr="009D1752">
              <w:rPr>
                <w:color w:val="000000"/>
                <w:sz w:val="21"/>
                <w:szCs w:val="21"/>
                <w:lang w:val="en-US"/>
              </w:rPr>
              <w:t>CMOC</w:t>
            </w:r>
          </w:p>
        </w:tc>
        <w:tc>
          <w:tcPr>
            <w:tcW w:w="1134" w:type="dxa"/>
            <w:shd w:val="clear" w:color="auto" w:fill="auto"/>
            <w:noWrap/>
            <w:vAlign w:val="center"/>
          </w:tcPr>
          <w:p w14:paraId="0C9BD33E" w14:textId="47495763" w:rsidR="008100AD" w:rsidRPr="009D1752" w:rsidRDefault="008100AD" w:rsidP="009D1752">
            <w:pPr>
              <w:jc w:val="right"/>
              <w:rPr>
                <w:color w:val="000000"/>
                <w:sz w:val="21"/>
                <w:szCs w:val="21"/>
                <w:lang w:val="en-US"/>
              </w:rPr>
            </w:pPr>
            <w:r w:rsidRPr="009D1752">
              <w:rPr>
                <w:color w:val="000000"/>
                <w:sz w:val="21"/>
                <w:szCs w:val="21"/>
                <w:lang w:val="en-US"/>
              </w:rPr>
              <w:t xml:space="preserve">    6,289</w:t>
            </w:r>
          </w:p>
        </w:tc>
        <w:tc>
          <w:tcPr>
            <w:tcW w:w="1134" w:type="dxa"/>
            <w:shd w:val="clear" w:color="auto" w:fill="auto"/>
            <w:noWrap/>
            <w:vAlign w:val="center"/>
          </w:tcPr>
          <w:p w14:paraId="5103A227"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9,430</w:t>
            </w:r>
          </w:p>
        </w:tc>
        <w:tc>
          <w:tcPr>
            <w:tcW w:w="1276" w:type="dxa"/>
            <w:shd w:val="clear" w:color="auto" w:fill="auto"/>
            <w:noWrap/>
            <w:vAlign w:val="center"/>
          </w:tcPr>
          <w:p w14:paraId="13708797"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-3,141</w:t>
            </w:r>
          </w:p>
        </w:tc>
        <w:tc>
          <w:tcPr>
            <w:tcW w:w="2805" w:type="dxa"/>
            <w:shd w:val="clear" w:color="auto" w:fill="auto"/>
            <w:vAlign w:val="center"/>
          </w:tcPr>
          <w:p w14:paraId="5F0E6207" w14:textId="3DC2FF42" w:rsidR="008100AD" w:rsidRPr="009D1752" w:rsidRDefault="008100AD" w:rsidP="009D1752">
            <w:pPr>
              <w:rPr>
                <w:color w:val="000000"/>
                <w:sz w:val="21"/>
                <w:szCs w:val="21"/>
                <w:lang w:val="en-US"/>
              </w:rPr>
            </w:pPr>
            <w:r w:rsidRPr="008100AD">
              <w:rPr>
                <w:color w:val="000000"/>
                <w:sz w:val="21"/>
                <w:szCs w:val="21"/>
                <w:lang w:val="en-US"/>
              </w:rPr>
              <w:t>Adjusted due to income recognition period</w:t>
            </w:r>
          </w:p>
        </w:tc>
      </w:tr>
      <w:tr w:rsidR="008100AD" w:rsidRPr="00A836D8" w14:paraId="5986D572" w14:textId="77777777" w:rsidTr="009D1752">
        <w:trPr>
          <w:trHeight w:val="70"/>
          <w:jc w:val="center"/>
        </w:trPr>
        <w:tc>
          <w:tcPr>
            <w:tcW w:w="2126" w:type="dxa"/>
            <w:shd w:val="clear" w:color="auto" w:fill="auto"/>
            <w:noWrap/>
            <w:vAlign w:val="center"/>
          </w:tcPr>
          <w:p w14:paraId="5FD10BAD" w14:textId="77777777" w:rsidR="008100AD" w:rsidRPr="009D1752" w:rsidRDefault="008100AD" w:rsidP="009D1752">
            <w:pPr>
              <w:rPr>
                <w:color w:val="000000"/>
                <w:sz w:val="21"/>
                <w:szCs w:val="21"/>
                <w:lang w:val="en-US"/>
              </w:rPr>
            </w:pPr>
            <w:r w:rsidRPr="009D1752">
              <w:rPr>
                <w:color w:val="000000"/>
                <w:sz w:val="21"/>
                <w:szCs w:val="21"/>
                <w:lang w:val="en-US"/>
              </w:rPr>
              <w:t xml:space="preserve">Financial subsidy   </w:t>
            </w:r>
          </w:p>
        </w:tc>
        <w:tc>
          <w:tcPr>
            <w:tcW w:w="1134" w:type="dxa"/>
            <w:shd w:val="clear" w:color="auto" w:fill="auto"/>
            <w:noWrap/>
            <w:vAlign w:val="center"/>
          </w:tcPr>
          <w:p w14:paraId="71B9C78F" w14:textId="350B8B40" w:rsidR="008100AD" w:rsidRPr="009D1752" w:rsidRDefault="008100AD" w:rsidP="009D1752">
            <w:pPr>
              <w:jc w:val="right"/>
              <w:rPr>
                <w:color w:val="000000"/>
                <w:sz w:val="21"/>
                <w:szCs w:val="21"/>
                <w:lang w:val="en-US"/>
              </w:rPr>
            </w:pPr>
            <w:r w:rsidRPr="009D1752">
              <w:rPr>
                <w:color w:val="000000"/>
                <w:sz w:val="21"/>
                <w:szCs w:val="21"/>
                <w:lang w:val="en-US"/>
              </w:rPr>
              <w:t>800</w:t>
            </w:r>
          </w:p>
        </w:tc>
        <w:tc>
          <w:tcPr>
            <w:tcW w:w="1134" w:type="dxa"/>
            <w:shd w:val="clear" w:color="auto" w:fill="auto"/>
            <w:noWrap/>
            <w:vAlign w:val="center"/>
          </w:tcPr>
          <w:p w14:paraId="7F299F5F" w14:textId="5A4380DE" w:rsidR="008100AD" w:rsidRPr="009D1752" w:rsidRDefault="008100AD" w:rsidP="009D1752">
            <w:pPr>
              <w:jc w:val="right"/>
              <w:rPr>
                <w:color w:val="000000"/>
                <w:sz w:val="21"/>
                <w:szCs w:val="21"/>
                <w:lang w:val="en-US"/>
              </w:rPr>
            </w:pPr>
            <w:r w:rsidRPr="009D1752">
              <w:rPr>
                <w:color w:val="000000"/>
                <w:sz w:val="21"/>
                <w:szCs w:val="21"/>
                <w:lang w:val="en-US"/>
              </w:rPr>
              <w:t>0</w:t>
            </w:r>
          </w:p>
        </w:tc>
        <w:tc>
          <w:tcPr>
            <w:tcW w:w="1276" w:type="dxa"/>
            <w:shd w:val="clear" w:color="auto" w:fill="auto"/>
            <w:noWrap/>
            <w:vAlign w:val="center"/>
          </w:tcPr>
          <w:p w14:paraId="7AD40B66"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800</w:t>
            </w:r>
          </w:p>
        </w:tc>
        <w:tc>
          <w:tcPr>
            <w:tcW w:w="2805" w:type="dxa"/>
            <w:shd w:val="clear" w:color="auto" w:fill="auto"/>
            <w:vAlign w:val="center"/>
          </w:tcPr>
          <w:p w14:paraId="33C64D0E" w14:textId="77777777" w:rsidR="008100AD" w:rsidRPr="009D1752" w:rsidRDefault="008100AD" w:rsidP="008100AD">
            <w:pPr>
              <w:ind w:firstLineChars="100" w:firstLine="210"/>
              <w:rPr>
                <w:color w:val="000000"/>
                <w:sz w:val="21"/>
                <w:szCs w:val="21"/>
                <w:lang w:val="en-US"/>
              </w:rPr>
            </w:pPr>
          </w:p>
        </w:tc>
      </w:tr>
      <w:tr w:rsidR="008100AD" w:rsidRPr="00A836D8" w14:paraId="3B80740E" w14:textId="77777777" w:rsidTr="009D1752">
        <w:trPr>
          <w:trHeight w:val="125"/>
          <w:jc w:val="center"/>
        </w:trPr>
        <w:tc>
          <w:tcPr>
            <w:tcW w:w="2126" w:type="dxa"/>
            <w:shd w:val="clear" w:color="auto" w:fill="auto"/>
            <w:noWrap/>
            <w:vAlign w:val="center"/>
            <w:hideMark/>
          </w:tcPr>
          <w:p w14:paraId="24B75B92" w14:textId="77777777" w:rsidR="008100AD" w:rsidRPr="009D1752" w:rsidRDefault="008100AD" w:rsidP="009D1752">
            <w:pPr>
              <w:rPr>
                <w:color w:val="000000"/>
                <w:sz w:val="21"/>
                <w:szCs w:val="21"/>
                <w:lang w:val="en-US"/>
              </w:rPr>
            </w:pPr>
            <w:r w:rsidRPr="009D1752">
              <w:rPr>
                <w:color w:val="000000"/>
                <w:sz w:val="21"/>
                <w:szCs w:val="21"/>
                <w:lang w:val="en-US"/>
              </w:rPr>
              <w:t>Income from new projects</w:t>
            </w:r>
          </w:p>
        </w:tc>
        <w:tc>
          <w:tcPr>
            <w:tcW w:w="1134" w:type="dxa"/>
            <w:shd w:val="clear" w:color="auto" w:fill="auto"/>
            <w:noWrap/>
            <w:vAlign w:val="center"/>
            <w:hideMark/>
          </w:tcPr>
          <w:p w14:paraId="2940ABC2" w14:textId="2FC4BD26" w:rsidR="008100AD" w:rsidRPr="009D1752" w:rsidRDefault="008100AD" w:rsidP="009D1752">
            <w:pPr>
              <w:jc w:val="right"/>
              <w:rPr>
                <w:color w:val="000000"/>
                <w:sz w:val="21"/>
                <w:szCs w:val="21"/>
                <w:lang w:val="en-US"/>
              </w:rPr>
            </w:pPr>
            <w:r w:rsidRPr="009D1752">
              <w:rPr>
                <w:color w:val="000000"/>
                <w:sz w:val="21"/>
                <w:szCs w:val="21"/>
                <w:lang w:val="en-US"/>
              </w:rPr>
              <w:t>0</w:t>
            </w:r>
          </w:p>
        </w:tc>
        <w:tc>
          <w:tcPr>
            <w:tcW w:w="1134" w:type="dxa"/>
            <w:shd w:val="clear" w:color="auto" w:fill="auto"/>
            <w:noWrap/>
            <w:vAlign w:val="center"/>
            <w:hideMark/>
          </w:tcPr>
          <w:p w14:paraId="310A0266"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30,000</w:t>
            </w:r>
          </w:p>
        </w:tc>
        <w:tc>
          <w:tcPr>
            <w:tcW w:w="1276" w:type="dxa"/>
            <w:shd w:val="clear" w:color="auto" w:fill="auto"/>
            <w:noWrap/>
            <w:vAlign w:val="center"/>
            <w:hideMark/>
          </w:tcPr>
          <w:p w14:paraId="680AE37C" w14:textId="77777777" w:rsidR="008100AD" w:rsidRPr="009D1752" w:rsidRDefault="008100AD" w:rsidP="009D1752">
            <w:pPr>
              <w:jc w:val="right"/>
              <w:rPr>
                <w:color w:val="000000"/>
                <w:sz w:val="21"/>
                <w:szCs w:val="21"/>
                <w:lang w:val="en-US"/>
              </w:rPr>
            </w:pPr>
            <w:r w:rsidRPr="009D1752">
              <w:rPr>
                <w:color w:val="000000"/>
                <w:sz w:val="21"/>
                <w:szCs w:val="21"/>
                <w:lang w:val="en-US"/>
              </w:rPr>
              <w:t xml:space="preserve"> -30,000</w:t>
            </w:r>
          </w:p>
        </w:tc>
        <w:tc>
          <w:tcPr>
            <w:tcW w:w="2805" w:type="dxa"/>
            <w:shd w:val="clear" w:color="auto" w:fill="auto"/>
            <w:vAlign w:val="center"/>
            <w:hideMark/>
          </w:tcPr>
          <w:p w14:paraId="04C6037D" w14:textId="7AB43A42" w:rsidR="008100AD" w:rsidRPr="009D1752" w:rsidRDefault="00082540" w:rsidP="008100AD">
            <w:pPr>
              <w:rPr>
                <w:color w:val="000000"/>
                <w:sz w:val="21"/>
                <w:szCs w:val="21"/>
                <w:lang w:val="en-US"/>
              </w:rPr>
            </w:pPr>
            <w:r>
              <w:rPr>
                <w:color w:val="000000"/>
                <w:sz w:val="21"/>
                <w:szCs w:val="21"/>
                <w:lang w:val="en-US"/>
              </w:rPr>
              <w:t>I</w:t>
            </w:r>
            <w:r w:rsidR="008100AD">
              <w:rPr>
                <w:color w:val="000000"/>
                <w:sz w:val="21"/>
                <w:szCs w:val="21"/>
                <w:lang w:val="en-US"/>
              </w:rPr>
              <w:t>ncome from new projects less than budgeted</w:t>
            </w:r>
          </w:p>
        </w:tc>
      </w:tr>
      <w:tr w:rsidR="008100AD" w:rsidRPr="00A836D8" w14:paraId="6DCCE6A6" w14:textId="77777777" w:rsidTr="009D1752">
        <w:trPr>
          <w:trHeight w:val="70"/>
          <w:jc w:val="center"/>
        </w:trPr>
        <w:tc>
          <w:tcPr>
            <w:tcW w:w="2126" w:type="dxa"/>
            <w:shd w:val="clear" w:color="auto" w:fill="auto"/>
            <w:noWrap/>
            <w:vAlign w:val="center"/>
            <w:hideMark/>
          </w:tcPr>
          <w:p w14:paraId="49F105EA" w14:textId="77777777" w:rsidR="008100AD" w:rsidRPr="009D1752" w:rsidRDefault="008100AD" w:rsidP="009D1752">
            <w:pPr>
              <w:rPr>
                <w:rFonts w:eastAsia="华文楷体"/>
                <w:b/>
                <w:color w:val="000000"/>
                <w:sz w:val="22"/>
                <w:szCs w:val="22"/>
                <w:lang w:val="en-US"/>
              </w:rPr>
            </w:pPr>
            <w:r w:rsidRPr="009D1752">
              <w:rPr>
                <w:b/>
                <w:color w:val="000000"/>
                <w:sz w:val="21"/>
                <w:szCs w:val="21"/>
                <w:lang w:val="en-US"/>
              </w:rPr>
              <w:t>Subtotal</w:t>
            </w:r>
          </w:p>
        </w:tc>
        <w:tc>
          <w:tcPr>
            <w:tcW w:w="1134" w:type="dxa"/>
            <w:shd w:val="clear" w:color="auto" w:fill="auto"/>
            <w:noWrap/>
            <w:vAlign w:val="center"/>
            <w:hideMark/>
          </w:tcPr>
          <w:p w14:paraId="3E7CD120" w14:textId="77777777" w:rsidR="008100AD" w:rsidRPr="009D1752" w:rsidRDefault="008100AD" w:rsidP="009D1752">
            <w:pPr>
              <w:jc w:val="right"/>
              <w:rPr>
                <w:b/>
                <w:color w:val="000000"/>
                <w:kern w:val="2"/>
                <w:sz w:val="21"/>
                <w:szCs w:val="21"/>
                <w:lang w:val="en-US"/>
              </w:rPr>
            </w:pPr>
            <w:r w:rsidRPr="009D1752">
              <w:rPr>
                <w:b/>
                <w:color w:val="000000"/>
                <w:kern w:val="2"/>
                <w:sz w:val="21"/>
                <w:szCs w:val="21"/>
                <w:lang w:val="en-US"/>
              </w:rPr>
              <w:t>68,008</w:t>
            </w:r>
          </w:p>
        </w:tc>
        <w:tc>
          <w:tcPr>
            <w:tcW w:w="1134" w:type="dxa"/>
            <w:shd w:val="clear" w:color="auto" w:fill="auto"/>
            <w:noWrap/>
            <w:vAlign w:val="center"/>
            <w:hideMark/>
          </w:tcPr>
          <w:p w14:paraId="556FA0C6" w14:textId="77777777" w:rsidR="008100AD" w:rsidRPr="009D1752" w:rsidRDefault="008100AD" w:rsidP="009D1752">
            <w:pPr>
              <w:jc w:val="right"/>
              <w:rPr>
                <w:b/>
                <w:color w:val="000000"/>
                <w:kern w:val="2"/>
                <w:sz w:val="21"/>
                <w:szCs w:val="21"/>
                <w:lang w:val="en-US"/>
              </w:rPr>
            </w:pPr>
            <w:r w:rsidRPr="009D1752">
              <w:rPr>
                <w:b/>
                <w:color w:val="000000"/>
                <w:kern w:val="2"/>
                <w:sz w:val="21"/>
                <w:szCs w:val="21"/>
                <w:lang w:val="en-US"/>
              </w:rPr>
              <w:t>101,880</w:t>
            </w:r>
          </w:p>
        </w:tc>
        <w:tc>
          <w:tcPr>
            <w:tcW w:w="1276" w:type="dxa"/>
            <w:shd w:val="clear" w:color="auto" w:fill="auto"/>
            <w:noWrap/>
            <w:vAlign w:val="center"/>
            <w:hideMark/>
          </w:tcPr>
          <w:p w14:paraId="3677B834" w14:textId="77777777" w:rsidR="008100AD" w:rsidRPr="009D1752" w:rsidRDefault="008100AD" w:rsidP="009D1752">
            <w:pPr>
              <w:jc w:val="right"/>
              <w:rPr>
                <w:b/>
                <w:color w:val="000000"/>
                <w:kern w:val="2"/>
                <w:sz w:val="21"/>
                <w:szCs w:val="21"/>
                <w:lang w:val="en-US"/>
              </w:rPr>
            </w:pPr>
            <w:r w:rsidRPr="009D1752">
              <w:rPr>
                <w:b/>
                <w:color w:val="000000"/>
                <w:kern w:val="2"/>
                <w:sz w:val="21"/>
                <w:szCs w:val="21"/>
                <w:lang w:val="en-US"/>
              </w:rPr>
              <w:t xml:space="preserve"> -33,872</w:t>
            </w:r>
          </w:p>
        </w:tc>
        <w:tc>
          <w:tcPr>
            <w:tcW w:w="2805" w:type="dxa"/>
            <w:shd w:val="clear" w:color="auto" w:fill="auto"/>
            <w:vAlign w:val="center"/>
            <w:hideMark/>
          </w:tcPr>
          <w:p w14:paraId="29E2686D" w14:textId="77777777" w:rsidR="008100AD" w:rsidRPr="009D1752" w:rsidRDefault="008100AD" w:rsidP="008100AD">
            <w:pPr>
              <w:rPr>
                <w:rFonts w:eastAsia="华文楷体"/>
                <w:b/>
                <w:color w:val="000000"/>
                <w:sz w:val="22"/>
                <w:szCs w:val="22"/>
                <w:lang w:val="en-US"/>
              </w:rPr>
            </w:pPr>
            <w:r w:rsidRPr="009D1752">
              <w:rPr>
                <w:rFonts w:eastAsia="华文楷体" w:hint="eastAsia"/>
                <w:b/>
                <w:color w:val="000000"/>
                <w:sz w:val="22"/>
                <w:szCs w:val="22"/>
                <w:lang w:val="en-US"/>
              </w:rPr>
              <w:t xml:space="preserve">　</w:t>
            </w:r>
          </w:p>
        </w:tc>
      </w:tr>
      <w:tr w:rsidR="002F78C7" w:rsidRPr="00A836D8" w14:paraId="2565CE86" w14:textId="77777777" w:rsidTr="002F78C7">
        <w:trPr>
          <w:trHeight w:val="70"/>
          <w:jc w:val="center"/>
        </w:trPr>
        <w:tc>
          <w:tcPr>
            <w:tcW w:w="2126" w:type="dxa"/>
            <w:shd w:val="clear" w:color="auto" w:fill="auto"/>
            <w:noWrap/>
            <w:vAlign w:val="center"/>
          </w:tcPr>
          <w:p w14:paraId="3FA35C8D" w14:textId="77777777" w:rsidR="002F78C7" w:rsidRPr="00A836D8" w:rsidRDefault="002F78C7" w:rsidP="008100AD">
            <w:pPr>
              <w:rPr>
                <w:b/>
                <w:color w:val="000000"/>
                <w:sz w:val="21"/>
                <w:szCs w:val="21"/>
                <w:lang w:val="en-US"/>
              </w:rPr>
            </w:pPr>
          </w:p>
        </w:tc>
        <w:tc>
          <w:tcPr>
            <w:tcW w:w="1134" w:type="dxa"/>
            <w:shd w:val="clear" w:color="auto" w:fill="auto"/>
            <w:noWrap/>
            <w:vAlign w:val="center"/>
          </w:tcPr>
          <w:p w14:paraId="792263FD" w14:textId="77777777" w:rsidR="002F78C7" w:rsidRPr="00A836D8" w:rsidRDefault="002F78C7" w:rsidP="008100AD">
            <w:pPr>
              <w:jc w:val="right"/>
              <w:rPr>
                <w:b/>
                <w:color w:val="000000"/>
                <w:kern w:val="2"/>
                <w:sz w:val="21"/>
                <w:szCs w:val="21"/>
                <w:lang w:val="en-US"/>
              </w:rPr>
            </w:pPr>
          </w:p>
        </w:tc>
        <w:tc>
          <w:tcPr>
            <w:tcW w:w="1134" w:type="dxa"/>
            <w:shd w:val="clear" w:color="auto" w:fill="auto"/>
            <w:noWrap/>
            <w:vAlign w:val="center"/>
          </w:tcPr>
          <w:p w14:paraId="3762C7CA" w14:textId="77777777" w:rsidR="002F78C7" w:rsidRPr="00A836D8" w:rsidRDefault="002F78C7" w:rsidP="008100AD">
            <w:pPr>
              <w:jc w:val="right"/>
              <w:rPr>
                <w:b/>
                <w:color w:val="000000"/>
                <w:kern w:val="2"/>
                <w:sz w:val="21"/>
                <w:szCs w:val="21"/>
                <w:lang w:val="en-US"/>
              </w:rPr>
            </w:pPr>
          </w:p>
        </w:tc>
        <w:tc>
          <w:tcPr>
            <w:tcW w:w="1276" w:type="dxa"/>
            <w:shd w:val="clear" w:color="auto" w:fill="auto"/>
            <w:noWrap/>
            <w:vAlign w:val="center"/>
          </w:tcPr>
          <w:p w14:paraId="639752FE" w14:textId="77777777" w:rsidR="002F78C7" w:rsidRPr="00A836D8" w:rsidRDefault="002F78C7" w:rsidP="008100AD">
            <w:pPr>
              <w:jc w:val="right"/>
              <w:rPr>
                <w:b/>
                <w:color w:val="000000"/>
                <w:kern w:val="2"/>
                <w:sz w:val="21"/>
                <w:szCs w:val="21"/>
                <w:lang w:val="en-US"/>
              </w:rPr>
            </w:pPr>
          </w:p>
        </w:tc>
        <w:tc>
          <w:tcPr>
            <w:tcW w:w="2805" w:type="dxa"/>
            <w:shd w:val="clear" w:color="auto" w:fill="auto"/>
            <w:vAlign w:val="center"/>
          </w:tcPr>
          <w:p w14:paraId="3F57C678" w14:textId="77777777" w:rsidR="002F78C7" w:rsidRPr="00A836D8" w:rsidRDefault="002F78C7" w:rsidP="008100AD">
            <w:pPr>
              <w:rPr>
                <w:rFonts w:eastAsia="华文楷体"/>
                <w:b/>
                <w:color w:val="000000"/>
                <w:sz w:val="22"/>
                <w:szCs w:val="22"/>
                <w:lang w:val="en-US"/>
              </w:rPr>
            </w:pPr>
          </w:p>
        </w:tc>
      </w:tr>
    </w:tbl>
    <w:p w14:paraId="08D1BAB5" w14:textId="071F994C" w:rsidR="005473D9" w:rsidRPr="009A2AEF" w:rsidRDefault="00904C2E" w:rsidP="005473D9">
      <w:pPr>
        <w:spacing w:line="360" w:lineRule="auto"/>
        <w:jc w:val="both"/>
        <w:rPr>
          <w:rFonts w:eastAsia="仿宋_GB2312"/>
          <w:bCs/>
          <w:sz w:val="28"/>
          <w:szCs w:val="28"/>
          <w:lang w:val="en-US"/>
        </w:rPr>
      </w:pPr>
      <w:r>
        <w:rPr>
          <w:rFonts w:eastAsia="仿宋_GB2312"/>
          <w:bCs/>
          <w:sz w:val="28"/>
          <w:szCs w:val="28"/>
          <w:lang w:val="en-US"/>
        </w:rPr>
        <w:t>2018</w:t>
      </w:r>
      <w:r w:rsidRPr="009A2AEF">
        <w:rPr>
          <w:rFonts w:eastAsia="仿宋_GB2312"/>
          <w:bCs/>
          <w:sz w:val="28"/>
          <w:szCs w:val="28"/>
          <w:lang w:val="en-US"/>
        </w:rPr>
        <w:t xml:space="preserve"> </w:t>
      </w:r>
      <w:r w:rsidR="005473D9" w:rsidRPr="009A2AEF">
        <w:rPr>
          <w:rFonts w:eastAsia="仿宋_GB2312"/>
          <w:bCs/>
          <w:sz w:val="28"/>
          <w:szCs w:val="28"/>
          <w:lang w:val="en-US"/>
        </w:rPr>
        <w:t xml:space="preserve">operating cost totals RMB 65.62 million, which is a decrease of RMB 19.02 million over the budgeted amount of RMB 84.64 million. The decrease is mainly due to </w:t>
      </w:r>
      <w:r>
        <w:rPr>
          <w:rFonts w:eastAsia="仿宋_GB2312" w:hint="eastAsia"/>
          <w:bCs/>
          <w:sz w:val="28"/>
          <w:szCs w:val="28"/>
          <w:lang w:val="en-US"/>
        </w:rPr>
        <w:t>(</w:t>
      </w:r>
      <w:proofErr w:type="spellStart"/>
      <w:r>
        <w:rPr>
          <w:rFonts w:eastAsia="仿宋_GB2312"/>
          <w:bCs/>
          <w:sz w:val="28"/>
          <w:szCs w:val="28"/>
          <w:lang w:val="en-US"/>
        </w:rPr>
        <w:t>i</w:t>
      </w:r>
      <w:proofErr w:type="spellEnd"/>
      <w:r>
        <w:rPr>
          <w:rFonts w:eastAsia="仿宋_GB2312"/>
          <w:bCs/>
          <w:sz w:val="28"/>
          <w:szCs w:val="28"/>
          <w:lang w:val="en-US"/>
        </w:rPr>
        <w:t>) two</w:t>
      </w:r>
      <w:r w:rsidRPr="009A2AEF">
        <w:rPr>
          <w:rFonts w:eastAsia="仿宋_GB2312"/>
          <w:bCs/>
          <w:sz w:val="28"/>
          <w:szCs w:val="28"/>
          <w:lang w:val="en-US"/>
        </w:rPr>
        <w:t xml:space="preserve"> </w:t>
      </w:r>
      <w:r w:rsidR="005473D9" w:rsidRPr="009A2AEF">
        <w:rPr>
          <w:rFonts w:eastAsia="仿宋_GB2312"/>
          <w:bCs/>
          <w:sz w:val="28"/>
          <w:szCs w:val="28"/>
          <w:lang w:val="en-US"/>
        </w:rPr>
        <w:t>employee</w:t>
      </w:r>
      <w:r>
        <w:rPr>
          <w:rFonts w:eastAsia="仿宋_GB2312"/>
          <w:bCs/>
          <w:sz w:val="28"/>
          <w:szCs w:val="28"/>
          <w:lang w:val="en-US"/>
        </w:rPr>
        <w:t xml:space="preserve"> departures resulting in</w:t>
      </w:r>
      <w:r w:rsidR="005473D9" w:rsidRPr="009A2AEF">
        <w:rPr>
          <w:rFonts w:eastAsia="仿宋_GB2312"/>
          <w:bCs/>
          <w:sz w:val="28"/>
          <w:szCs w:val="28"/>
          <w:lang w:val="en-US"/>
        </w:rPr>
        <w:t xml:space="preserve"> a salary</w:t>
      </w:r>
      <w:r>
        <w:rPr>
          <w:rFonts w:eastAsia="仿宋_GB2312"/>
          <w:bCs/>
          <w:sz w:val="28"/>
          <w:szCs w:val="28"/>
          <w:lang w:val="en-US"/>
        </w:rPr>
        <w:t xml:space="preserve"> expense</w:t>
      </w:r>
      <w:r w:rsidR="005473D9" w:rsidRPr="009A2AEF">
        <w:rPr>
          <w:rFonts w:eastAsia="仿宋_GB2312"/>
          <w:bCs/>
          <w:sz w:val="28"/>
          <w:szCs w:val="28"/>
          <w:lang w:val="en-US"/>
        </w:rPr>
        <w:t xml:space="preserve"> reduction of RMB 1.47 million; </w:t>
      </w:r>
      <w:r>
        <w:rPr>
          <w:rFonts w:eastAsia="仿宋_GB2312"/>
          <w:bCs/>
          <w:sz w:val="28"/>
          <w:szCs w:val="28"/>
          <w:lang w:val="en-US"/>
        </w:rPr>
        <w:t xml:space="preserve">(ii) decrease in </w:t>
      </w:r>
      <w:r w:rsidR="005473D9" w:rsidRPr="009A2AEF">
        <w:rPr>
          <w:rFonts w:eastAsia="仿宋_GB2312"/>
          <w:bCs/>
          <w:sz w:val="28"/>
          <w:szCs w:val="28"/>
          <w:lang w:val="en-US"/>
        </w:rPr>
        <w:t xml:space="preserve">project </w:t>
      </w:r>
      <w:r w:rsidR="00291929" w:rsidRPr="009A2AEF">
        <w:rPr>
          <w:rFonts w:eastAsia="仿宋_GB2312"/>
          <w:bCs/>
          <w:sz w:val="28"/>
          <w:szCs w:val="28"/>
          <w:lang w:val="en-US"/>
        </w:rPr>
        <w:t xml:space="preserve">development </w:t>
      </w:r>
      <w:r>
        <w:rPr>
          <w:rFonts w:eastAsia="仿宋_GB2312"/>
          <w:bCs/>
          <w:sz w:val="28"/>
          <w:szCs w:val="28"/>
          <w:lang w:val="en-US"/>
        </w:rPr>
        <w:t>expenses</w:t>
      </w:r>
      <w:r w:rsidRPr="009A2AEF">
        <w:rPr>
          <w:rFonts w:eastAsia="仿宋_GB2312"/>
          <w:bCs/>
          <w:sz w:val="28"/>
          <w:szCs w:val="28"/>
          <w:lang w:val="en-US"/>
        </w:rPr>
        <w:t xml:space="preserve"> </w:t>
      </w:r>
      <w:r>
        <w:rPr>
          <w:rFonts w:eastAsia="仿宋_GB2312"/>
          <w:bCs/>
          <w:sz w:val="28"/>
          <w:szCs w:val="28"/>
          <w:lang w:val="en-US"/>
        </w:rPr>
        <w:t>of</w:t>
      </w:r>
      <w:r w:rsidR="005473D9" w:rsidRPr="009A2AEF">
        <w:rPr>
          <w:rFonts w:eastAsia="仿宋_GB2312"/>
          <w:bCs/>
          <w:sz w:val="28"/>
          <w:szCs w:val="28"/>
          <w:lang w:val="en-US"/>
        </w:rPr>
        <w:t xml:space="preserve"> RMB 2.34 million; </w:t>
      </w:r>
      <w:r>
        <w:rPr>
          <w:rFonts w:eastAsia="仿宋_GB2312"/>
          <w:bCs/>
          <w:sz w:val="28"/>
          <w:szCs w:val="28"/>
          <w:lang w:val="en-US"/>
        </w:rPr>
        <w:t xml:space="preserve">(iii) decrease in </w:t>
      </w:r>
      <w:r w:rsidR="005473D9" w:rsidRPr="009A2AEF">
        <w:rPr>
          <w:rFonts w:eastAsia="仿宋_GB2312"/>
          <w:bCs/>
          <w:sz w:val="28"/>
          <w:szCs w:val="28"/>
          <w:lang w:val="en-US"/>
        </w:rPr>
        <w:t>fundraising fee</w:t>
      </w:r>
      <w:r>
        <w:rPr>
          <w:rFonts w:eastAsia="仿宋_GB2312"/>
          <w:bCs/>
          <w:sz w:val="28"/>
          <w:szCs w:val="28"/>
          <w:lang w:val="en-US"/>
        </w:rPr>
        <w:t>s</w:t>
      </w:r>
      <w:r w:rsidR="005473D9" w:rsidRPr="009A2AEF">
        <w:rPr>
          <w:rFonts w:eastAsia="仿宋_GB2312"/>
          <w:bCs/>
          <w:sz w:val="28"/>
          <w:szCs w:val="28"/>
          <w:lang w:val="en-US"/>
        </w:rPr>
        <w:t xml:space="preserve"> </w:t>
      </w:r>
      <w:r>
        <w:rPr>
          <w:rFonts w:eastAsia="仿宋_GB2312"/>
          <w:bCs/>
          <w:sz w:val="28"/>
          <w:szCs w:val="28"/>
          <w:lang w:val="en-US"/>
        </w:rPr>
        <w:t>of</w:t>
      </w:r>
      <w:r w:rsidR="005473D9" w:rsidRPr="009A2AEF">
        <w:rPr>
          <w:rFonts w:eastAsia="仿宋_GB2312"/>
          <w:bCs/>
          <w:sz w:val="28"/>
          <w:szCs w:val="28"/>
          <w:lang w:val="en-US"/>
        </w:rPr>
        <w:t xml:space="preserve"> RMB 5.57 million (expected to be paid in 2019).</w:t>
      </w:r>
    </w:p>
    <w:p w14:paraId="70F4551E" w14:textId="77777777" w:rsidR="005473D9" w:rsidRPr="009A2AEF" w:rsidRDefault="005473D9" w:rsidP="005473D9">
      <w:pPr>
        <w:spacing w:line="360" w:lineRule="auto"/>
        <w:jc w:val="both"/>
        <w:rPr>
          <w:rFonts w:eastAsia="仿宋_GB2312"/>
          <w:bCs/>
          <w:sz w:val="28"/>
          <w:szCs w:val="28"/>
          <w:lang w:val="en-US"/>
        </w:rPr>
      </w:pPr>
      <w:r w:rsidRPr="009A2AEF">
        <w:rPr>
          <w:rFonts w:eastAsia="仿宋_GB2312"/>
          <w:bCs/>
          <w:sz w:val="28"/>
          <w:szCs w:val="28"/>
          <w:lang w:val="en-US"/>
        </w:rPr>
        <w:t xml:space="preserve">The total operating cost of RMB 65.62 million consists of the following: </w:t>
      </w:r>
    </w:p>
    <w:p w14:paraId="687255E9" w14:textId="77777777"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bCs/>
          <w:sz w:val="28"/>
          <w:lang w:val="en-US"/>
        </w:rPr>
        <w:t xml:space="preserve">RMB </w:t>
      </w:r>
      <w:r>
        <w:rPr>
          <w:rFonts w:eastAsia="仿宋_GB2312"/>
          <w:kern w:val="2"/>
          <w:sz w:val="28"/>
          <w:szCs w:val="22"/>
          <w:lang w:val="en-US"/>
        </w:rPr>
        <w:t>28.91</w:t>
      </w:r>
      <w:r w:rsidRPr="0020579C">
        <w:rPr>
          <w:rFonts w:eastAsia="仿宋_GB2312"/>
          <w:kern w:val="2"/>
          <w:sz w:val="28"/>
          <w:szCs w:val="22"/>
          <w:lang w:val="en-US"/>
        </w:rPr>
        <w:t xml:space="preserve"> million </w:t>
      </w:r>
      <w:r>
        <w:rPr>
          <w:rFonts w:eastAsia="仿宋_GB2312"/>
          <w:kern w:val="2"/>
          <w:sz w:val="28"/>
          <w:szCs w:val="22"/>
          <w:lang w:val="en-US"/>
        </w:rPr>
        <w:t xml:space="preserve">of </w:t>
      </w:r>
      <w:r w:rsidRPr="0020579C">
        <w:rPr>
          <w:rFonts w:eastAsia="仿宋_GB2312"/>
          <w:kern w:val="2"/>
          <w:sz w:val="28"/>
          <w:szCs w:val="22"/>
          <w:lang w:val="en-US"/>
        </w:rPr>
        <w:t xml:space="preserve">payroll expenses (including </w:t>
      </w:r>
      <w:r>
        <w:rPr>
          <w:rFonts w:eastAsia="仿宋_GB2312"/>
          <w:kern w:val="2"/>
          <w:sz w:val="28"/>
          <w:szCs w:val="22"/>
          <w:lang w:val="en-US"/>
        </w:rPr>
        <w:t xml:space="preserve">RMB </w:t>
      </w:r>
      <w:r w:rsidRPr="0020579C">
        <w:rPr>
          <w:rFonts w:eastAsia="仿宋_GB2312"/>
          <w:kern w:val="2"/>
          <w:sz w:val="28"/>
          <w:szCs w:val="22"/>
          <w:lang w:val="en-US"/>
        </w:rPr>
        <w:t>27</w:t>
      </w:r>
      <w:r>
        <w:rPr>
          <w:rFonts w:eastAsia="仿宋_GB2312"/>
          <w:kern w:val="2"/>
          <w:sz w:val="28"/>
          <w:szCs w:val="22"/>
          <w:lang w:val="en-US"/>
        </w:rPr>
        <w:t>.55</w:t>
      </w:r>
      <w:r w:rsidRPr="0020579C">
        <w:rPr>
          <w:rFonts w:eastAsia="仿宋_GB2312"/>
          <w:kern w:val="2"/>
          <w:sz w:val="28"/>
          <w:szCs w:val="22"/>
          <w:lang w:val="en-US"/>
        </w:rPr>
        <w:t xml:space="preserve"> million </w:t>
      </w:r>
      <w:r>
        <w:rPr>
          <w:rFonts w:eastAsia="仿宋_GB2312"/>
          <w:kern w:val="2"/>
          <w:sz w:val="28"/>
          <w:szCs w:val="22"/>
          <w:lang w:val="en-US"/>
        </w:rPr>
        <w:t xml:space="preserve">in basic salary </w:t>
      </w:r>
      <w:r w:rsidRPr="0020579C">
        <w:rPr>
          <w:rFonts w:eastAsia="仿宋_GB2312"/>
          <w:kern w:val="2"/>
          <w:sz w:val="28"/>
          <w:szCs w:val="22"/>
          <w:lang w:val="en-US"/>
        </w:rPr>
        <w:t xml:space="preserve">and </w:t>
      </w:r>
      <w:r>
        <w:rPr>
          <w:rFonts w:eastAsia="仿宋_GB2312"/>
          <w:kern w:val="2"/>
          <w:sz w:val="28"/>
          <w:szCs w:val="22"/>
          <w:lang w:val="en-US"/>
        </w:rPr>
        <w:t>RMB 1.36 million in</w:t>
      </w:r>
      <w:r w:rsidRPr="0020579C">
        <w:rPr>
          <w:rFonts w:eastAsia="仿宋_GB2312"/>
          <w:kern w:val="2"/>
          <w:sz w:val="28"/>
          <w:szCs w:val="22"/>
          <w:lang w:val="en-US"/>
        </w:rPr>
        <w:t xml:space="preserve"> employee benefits)</w:t>
      </w:r>
      <w:r>
        <w:rPr>
          <w:rFonts w:eastAsia="仿宋_GB2312"/>
          <w:kern w:val="2"/>
          <w:sz w:val="28"/>
          <w:szCs w:val="22"/>
          <w:lang w:val="en-US"/>
        </w:rPr>
        <w:t>,</w:t>
      </w:r>
    </w:p>
    <w:p w14:paraId="0556A8C9" w14:textId="183B2276"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 xml:space="preserve">RMB 19.80 million of interest expense </w:t>
      </w:r>
      <w:r w:rsidR="00102190">
        <w:rPr>
          <w:rFonts w:eastAsia="仿宋_GB2312"/>
          <w:kern w:val="2"/>
          <w:sz w:val="28"/>
          <w:szCs w:val="22"/>
          <w:lang w:val="en-US"/>
        </w:rPr>
        <w:t>to the Bank of China under Project Hanson</w:t>
      </w:r>
      <w:r>
        <w:rPr>
          <w:rFonts w:eastAsia="仿宋_GB2312"/>
          <w:kern w:val="2"/>
          <w:sz w:val="28"/>
          <w:szCs w:val="22"/>
          <w:lang w:val="en-US"/>
        </w:rPr>
        <w:t>,</w:t>
      </w:r>
    </w:p>
    <w:p w14:paraId="6895D207" w14:textId="77A2EC4C"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 4.</w:t>
      </w:r>
      <w:r w:rsidRPr="0020579C">
        <w:rPr>
          <w:rFonts w:eastAsia="仿宋_GB2312"/>
          <w:kern w:val="2"/>
          <w:sz w:val="28"/>
          <w:szCs w:val="22"/>
          <w:lang w:val="en-US"/>
        </w:rPr>
        <w:t>9</w:t>
      </w:r>
      <w:r>
        <w:rPr>
          <w:rFonts w:eastAsia="仿宋_GB2312"/>
          <w:kern w:val="2"/>
          <w:sz w:val="28"/>
          <w:szCs w:val="22"/>
          <w:lang w:val="en-US"/>
        </w:rPr>
        <w:t>7</w:t>
      </w:r>
      <w:r w:rsidRPr="0020579C">
        <w:rPr>
          <w:rFonts w:eastAsia="仿宋_GB2312"/>
          <w:kern w:val="2"/>
          <w:sz w:val="28"/>
          <w:szCs w:val="22"/>
          <w:lang w:val="en-US"/>
        </w:rPr>
        <w:t xml:space="preserve"> million </w:t>
      </w:r>
      <w:r>
        <w:rPr>
          <w:rFonts w:eastAsia="仿宋_GB2312"/>
          <w:kern w:val="2"/>
          <w:sz w:val="28"/>
          <w:szCs w:val="22"/>
          <w:lang w:val="en-US"/>
        </w:rPr>
        <w:t>of</w:t>
      </w:r>
      <w:r w:rsidRPr="0020579C">
        <w:rPr>
          <w:rFonts w:eastAsia="仿宋_GB2312"/>
          <w:kern w:val="2"/>
          <w:sz w:val="28"/>
          <w:szCs w:val="22"/>
          <w:lang w:val="en-US"/>
        </w:rPr>
        <w:t xml:space="preserve"> project development</w:t>
      </w:r>
      <w:r>
        <w:rPr>
          <w:rFonts w:eastAsia="仿宋_GB2312"/>
          <w:kern w:val="2"/>
          <w:sz w:val="28"/>
          <w:szCs w:val="22"/>
          <w:lang w:val="en-US"/>
        </w:rPr>
        <w:t xml:space="preserve"> fee</w:t>
      </w:r>
      <w:r w:rsidR="00086091">
        <w:rPr>
          <w:rFonts w:eastAsia="仿宋_GB2312"/>
          <w:kern w:val="2"/>
          <w:sz w:val="28"/>
          <w:szCs w:val="22"/>
          <w:lang w:val="en-US"/>
        </w:rPr>
        <w:t>s</w:t>
      </w:r>
      <w:r>
        <w:rPr>
          <w:rFonts w:eastAsia="仿宋_GB2312"/>
          <w:kern w:val="2"/>
          <w:sz w:val="28"/>
          <w:szCs w:val="22"/>
          <w:lang w:val="en-US"/>
        </w:rPr>
        <w:t>,</w:t>
      </w:r>
    </w:p>
    <w:p w14:paraId="56A73A6C" w14:textId="77777777" w:rsidR="005473D9" w:rsidRPr="00E9163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 xml:space="preserve">RMB 4.18 million of </w:t>
      </w:r>
      <w:r w:rsidRPr="0020579C">
        <w:rPr>
          <w:rFonts w:eastAsia="仿宋_GB2312"/>
          <w:kern w:val="2"/>
          <w:sz w:val="28"/>
          <w:szCs w:val="22"/>
          <w:lang w:val="en-US"/>
        </w:rPr>
        <w:t>administrative expenses</w:t>
      </w:r>
      <w:r>
        <w:rPr>
          <w:rFonts w:eastAsia="仿宋_GB2312"/>
          <w:kern w:val="2"/>
          <w:sz w:val="28"/>
          <w:szCs w:val="22"/>
          <w:lang w:val="en-US"/>
        </w:rPr>
        <w:t>,</w:t>
      </w:r>
    </w:p>
    <w:p w14:paraId="68791FF1" w14:textId="77777777"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 2.36</w:t>
      </w:r>
      <w:r w:rsidRPr="0020579C">
        <w:rPr>
          <w:rFonts w:eastAsia="仿宋_GB2312"/>
          <w:kern w:val="2"/>
          <w:sz w:val="28"/>
          <w:szCs w:val="22"/>
          <w:lang w:val="en-US"/>
        </w:rPr>
        <w:t xml:space="preserve"> million </w:t>
      </w:r>
      <w:r>
        <w:rPr>
          <w:rFonts w:eastAsia="仿宋_GB2312"/>
          <w:kern w:val="2"/>
          <w:sz w:val="28"/>
          <w:szCs w:val="22"/>
          <w:lang w:val="en-US"/>
        </w:rPr>
        <w:t>of</w:t>
      </w:r>
      <w:r w:rsidRPr="0020579C">
        <w:rPr>
          <w:rFonts w:eastAsia="仿宋_GB2312"/>
          <w:kern w:val="2"/>
          <w:sz w:val="28"/>
          <w:szCs w:val="22"/>
          <w:lang w:val="en-US"/>
        </w:rPr>
        <w:t xml:space="preserve"> legal and a</w:t>
      </w:r>
      <w:r>
        <w:rPr>
          <w:rFonts w:eastAsia="仿宋_GB2312"/>
          <w:kern w:val="2"/>
          <w:sz w:val="28"/>
          <w:szCs w:val="22"/>
          <w:lang w:val="en-US"/>
        </w:rPr>
        <w:t>dvisor</w:t>
      </w:r>
      <w:r w:rsidRPr="0020579C">
        <w:rPr>
          <w:rFonts w:eastAsia="仿宋_GB2312"/>
          <w:kern w:val="2"/>
          <w:sz w:val="28"/>
          <w:szCs w:val="22"/>
          <w:lang w:val="en-US"/>
        </w:rPr>
        <w:t xml:space="preserve"> fees</w:t>
      </w:r>
      <w:r>
        <w:rPr>
          <w:rFonts w:eastAsia="仿宋_GB2312"/>
          <w:kern w:val="2"/>
          <w:sz w:val="28"/>
          <w:szCs w:val="22"/>
          <w:lang w:val="en-US"/>
        </w:rPr>
        <w:t>,</w:t>
      </w:r>
    </w:p>
    <w:p w14:paraId="09CB512C" w14:textId="77777777"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sidRPr="0020579C">
        <w:rPr>
          <w:rFonts w:eastAsia="仿宋_GB2312"/>
          <w:bCs/>
          <w:sz w:val="28"/>
          <w:lang w:val="en-US"/>
        </w:rPr>
        <w:lastRenderedPageBreak/>
        <w:t>RMB</w:t>
      </w:r>
      <w:r>
        <w:rPr>
          <w:rFonts w:eastAsia="仿宋_GB2312"/>
          <w:bCs/>
          <w:sz w:val="28"/>
          <w:lang w:val="en-US"/>
        </w:rPr>
        <w:t xml:space="preserve"> </w:t>
      </w:r>
      <w:r>
        <w:rPr>
          <w:rFonts w:eastAsia="仿宋_GB2312"/>
          <w:kern w:val="2"/>
          <w:sz w:val="28"/>
          <w:szCs w:val="22"/>
          <w:lang w:val="en-US"/>
        </w:rPr>
        <w:t>2</w:t>
      </w:r>
      <w:r w:rsidRPr="0020579C">
        <w:rPr>
          <w:rFonts w:eastAsia="仿宋_GB2312"/>
          <w:kern w:val="2"/>
          <w:sz w:val="28"/>
          <w:szCs w:val="22"/>
          <w:lang w:val="en-US"/>
        </w:rPr>
        <w:t xml:space="preserve"> million </w:t>
      </w:r>
      <w:r>
        <w:rPr>
          <w:rFonts w:eastAsia="仿宋_GB2312"/>
          <w:kern w:val="2"/>
          <w:sz w:val="28"/>
          <w:szCs w:val="22"/>
          <w:lang w:val="en-US"/>
        </w:rPr>
        <w:t>of</w:t>
      </w:r>
      <w:r w:rsidRPr="0020579C">
        <w:rPr>
          <w:rFonts w:eastAsia="仿宋_GB2312"/>
          <w:kern w:val="2"/>
          <w:sz w:val="28"/>
          <w:szCs w:val="22"/>
          <w:lang w:val="en-US"/>
        </w:rPr>
        <w:t xml:space="preserve"> Co-GP management fee </w:t>
      </w:r>
      <w:r>
        <w:rPr>
          <w:rFonts w:eastAsia="仿宋_GB2312"/>
          <w:kern w:val="2"/>
          <w:sz w:val="28"/>
          <w:szCs w:val="22"/>
          <w:lang w:val="en-US"/>
        </w:rPr>
        <w:t>paid</w:t>
      </w:r>
      <w:r w:rsidRPr="0020579C">
        <w:rPr>
          <w:rFonts w:eastAsia="仿宋_GB2312"/>
          <w:kern w:val="2"/>
          <w:sz w:val="28"/>
          <w:szCs w:val="22"/>
          <w:lang w:val="en-US"/>
        </w:rPr>
        <w:t xml:space="preserve"> </w:t>
      </w:r>
      <w:r>
        <w:rPr>
          <w:rFonts w:eastAsia="仿宋_GB2312"/>
          <w:kern w:val="2"/>
          <w:sz w:val="28"/>
          <w:szCs w:val="22"/>
          <w:lang w:val="en-US"/>
        </w:rPr>
        <w:t>to CATL under</w:t>
      </w:r>
      <w:r w:rsidRPr="0020579C">
        <w:rPr>
          <w:rFonts w:eastAsia="仿宋_GB2312"/>
          <w:kern w:val="2"/>
          <w:sz w:val="28"/>
          <w:szCs w:val="22"/>
          <w:lang w:val="en-US"/>
        </w:rPr>
        <w:t xml:space="preserve"> Project </w:t>
      </w:r>
      <w:r>
        <w:rPr>
          <w:rFonts w:eastAsia="仿宋_GB2312"/>
          <w:kern w:val="2"/>
          <w:sz w:val="28"/>
          <w:szCs w:val="22"/>
          <w:lang w:val="en-US"/>
        </w:rPr>
        <w:t>Sinopec,</w:t>
      </w:r>
    </w:p>
    <w:p w14:paraId="57F5B8AF" w14:textId="1FDEB569"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 xml:space="preserve">RMB 990,000 of BOC Standby Letter fee for </w:t>
      </w:r>
      <w:r w:rsidR="00086091">
        <w:rPr>
          <w:rFonts w:eastAsia="仿宋_GB2312"/>
          <w:kern w:val="2"/>
          <w:sz w:val="28"/>
          <w:szCs w:val="22"/>
          <w:lang w:val="en-US"/>
        </w:rPr>
        <w:t xml:space="preserve">Project </w:t>
      </w:r>
      <w:proofErr w:type="spellStart"/>
      <w:r>
        <w:rPr>
          <w:rFonts w:eastAsia="仿宋_GB2312"/>
          <w:kern w:val="2"/>
          <w:sz w:val="28"/>
          <w:szCs w:val="22"/>
          <w:lang w:val="en-US"/>
        </w:rPr>
        <w:t>Yancoal</w:t>
      </w:r>
      <w:proofErr w:type="spellEnd"/>
      <w:r w:rsidR="00086091">
        <w:rPr>
          <w:rFonts w:eastAsia="仿宋_GB2312"/>
          <w:kern w:val="2"/>
          <w:sz w:val="28"/>
          <w:szCs w:val="22"/>
          <w:lang w:val="en-US"/>
        </w:rPr>
        <w:t>,</w:t>
      </w:r>
    </w:p>
    <w:p w14:paraId="08BAF828" w14:textId="3D9A5017"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 390,000 of interest expense</w:t>
      </w:r>
      <w:r w:rsidR="00291929">
        <w:rPr>
          <w:rFonts w:eastAsia="仿宋_GB2312"/>
          <w:kern w:val="2"/>
          <w:sz w:val="28"/>
          <w:szCs w:val="22"/>
          <w:lang w:val="en-US"/>
        </w:rPr>
        <w:t>s</w:t>
      </w:r>
      <w:r w:rsidR="00086091">
        <w:rPr>
          <w:rFonts w:eastAsia="仿宋_GB2312"/>
          <w:kern w:val="2"/>
          <w:sz w:val="28"/>
          <w:szCs w:val="22"/>
          <w:lang w:val="en-US"/>
        </w:rPr>
        <w:t xml:space="preserve"> </w:t>
      </w:r>
      <w:r w:rsidR="00042322">
        <w:rPr>
          <w:rFonts w:eastAsia="仿宋_GB2312"/>
          <w:kern w:val="2"/>
          <w:sz w:val="28"/>
          <w:szCs w:val="22"/>
          <w:lang w:val="en-US"/>
        </w:rPr>
        <w:t xml:space="preserve">payable </w:t>
      </w:r>
      <w:r w:rsidR="00086091">
        <w:rPr>
          <w:rFonts w:eastAsia="仿宋_GB2312"/>
          <w:kern w:val="2"/>
          <w:sz w:val="28"/>
          <w:szCs w:val="22"/>
          <w:lang w:val="en-US"/>
        </w:rPr>
        <w:t>under the China Merchants Bank Facility</w:t>
      </w:r>
      <w:r w:rsidR="00042322">
        <w:rPr>
          <w:rFonts w:eastAsia="仿宋_GB2312"/>
          <w:kern w:val="2"/>
          <w:sz w:val="28"/>
          <w:szCs w:val="22"/>
          <w:lang w:val="en-US"/>
        </w:rPr>
        <w:t xml:space="preserve"> and the loan made Xin Wang</w:t>
      </w:r>
      <w:r>
        <w:rPr>
          <w:rFonts w:eastAsia="仿宋_GB2312"/>
          <w:kern w:val="2"/>
          <w:sz w:val="28"/>
          <w:szCs w:val="22"/>
          <w:lang w:val="en-US"/>
        </w:rPr>
        <w:t>,</w:t>
      </w:r>
    </w:p>
    <w:p w14:paraId="07CEBD33" w14:textId="77777777"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 36</w:t>
      </w:r>
      <w:r w:rsidRPr="0020579C">
        <w:rPr>
          <w:rFonts w:eastAsia="仿宋_GB2312"/>
          <w:kern w:val="2"/>
          <w:sz w:val="28"/>
          <w:szCs w:val="22"/>
          <w:lang w:val="en-US"/>
        </w:rPr>
        <w:t>0</w:t>
      </w:r>
      <w:r>
        <w:rPr>
          <w:rFonts w:eastAsia="仿宋_GB2312"/>
          <w:kern w:val="2"/>
          <w:sz w:val="28"/>
          <w:szCs w:val="22"/>
          <w:lang w:val="en-US"/>
        </w:rPr>
        <w:t>,000</w:t>
      </w:r>
      <w:r w:rsidRPr="0020579C">
        <w:rPr>
          <w:rFonts w:eastAsia="仿宋_GB2312"/>
          <w:kern w:val="2"/>
          <w:sz w:val="28"/>
          <w:szCs w:val="22"/>
          <w:lang w:val="en-US"/>
        </w:rPr>
        <w:t xml:space="preserve"> </w:t>
      </w:r>
      <w:r>
        <w:rPr>
          <w:rFonts w:eastAsia="仿宋_GB2312"/>
          <w:kern w:val="2"/>
          <w:sz w:val="28"/>
          <w:szCs w:val="22"/>
          <w:lang w:val="en-US"/>
        </w:rPr>
        <w:t>of board expenses,</w:t>
      </w:r>
    </w:p>
    <w:p w14:paraId="213CF684" w14:textId="3B0CAD01"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 xml:space="preserve">RMB 360,000 of </w:t>
      </w:r>
      <w:r w:rsidR="00086091">
        <w:rPr>
          <w:rFonts w:eastAsia="仿宋_GB2312"/>
          <w:kern w:val="2"/>
          <w:sz w:val="28"/>
          <w:szCs w:val="22"/>
          <w:lang w:val="en-US"/>
        </w:rPr>
        <w:t xml:space="preserve">venture </w:t>
      </w:r>
      <w:r w:rsidRPr="00042322">
        <w:rPr>
          <w:rFonts w:eastAsia="仿宋_GB2312"/>
          <w:kern w:val="2"/>
          <w:sz w:val="28"/>
          <w:szCs w:val="22"/>
          <w:lang w:val="en-US"/>
        </w:rPr>
        <w:t>partner expenses,</w:t>
      </w:r>
      <w:r>
        <w:rPr>
          <w:rFonts w:eastAsia="仿宋_GB2312"/>
          <w:kern w:val="2"/>
          <w:sz w:val="28"/>
          <w:szCs w:val="22"/>
          <w:lang w:val="en-US"/>
        </w:rPr>
        <w:t xml:space="preserve"> and</w:t>
      </w:r>
    </w:p>
    <w:p w14:paraId="6EB52AF7" w14:textId="46C82410" w:rsidR="005473D9" w:rsidRDefault="005473D9" w:rsidP="005473D9">
      <w:pPr>
        <w:pStyle w:val="a3"/>
        <w:numPr>
          <w:ilvl w:val="0"/>
          <w:numId w:val="24"/>
        </w:numPr>
        <w:spacing w:line="360" w:lineRule="auto"/>
        <w:ind w:firstLineChars="0"/>
        <w:jc w:val="both"/>
        <w:rPr>
          <w:rFonts w:eastAsia="仿宋_GB2312"/>
          <w:kern w:val="2"/>
          <w:sz w:val="28"/>
          <w:szCs w:val="22"/>
          <w:lang w:val="en-US"/>
        </w:rPr>
      </w:pPr>
      <w:r>
        <w:rPr>
          <w:rFonts w:eastAsia="仿宋_GB2312"/>
          <w:kern w:val="2"/>
          <w:sz w:val="28"/>
          <w:szCs w:val="22"/>
          <w:lang w:val="en-US"/>
        </w:rPr>
        <w:t>RMB</w:t>
      </w:r>
      <w:r w:rsidRPr="0020579C">
        <w:rPr>
          <w:rFonts w:eastAsia="仿宋_GB2312"/>
          <w:kern w:val="2"/>
          <w:sz w:val="28"/>
          <w:szCs w:val="22"/>
          <w:lang w:val="en-US"/>
        </w:rPr>
        <w:t>1.</w:t>
      </w:r>
      <w:r>
        <w:rPr>
          <w:rFonts w:eastAsia="仿宋_GB2312"/>
          <w:kern w:val="2"/>
          <w:sz w:val="28"/>
          <w:szCs w:val="22"/>
          <w:lang w:val="en-US"/>
        </w:rPr>
        <w:t>30</w:t>
      </w:r>
      <w:r w:rsidRPr="0020579C">
        <w:rPr>
          <w:rFonts w:eastAsia="仿宋_GB2312"/>
          <w:kern w:val="2"/>
          <w:sz w:val="28"/>
          <w:szCs w:val="22"/>
          <w:lang w:val="en-US"/>
        </w:rPr>
        <w:t xml:space="preserve"> million </w:t>
      </w:r>
      <w:r>
        <w:rPr>
          <w:rFonts w:eastAsia="仿宋_GB2312"/>
          <w:kern w:val="2"/>
          <w:sz w:val="28"/>
          <w:szCs w:val="22"/>
          <w:lang w:val="en-US"/>
        </w:rPr>
        <w:t>of</w:t>
      </w:r>
      <w:r w:rsidRPr="0020579C">
        <w:rPr>
          <w:rFonts w:eastAsia="仿宋_GB2312"/>
          <w:kern w:val="2"/>
          <w:sz w:val="28"/>
          <w:szCs w:val="22"/>
          <w:lang w:val="en-US"/>
        </w:rPr>
        <w:t xml:space="preserve"> asset amortization and other fees</w:t>
      </w:r>
      <w:r>
        <w:rPr>
          <w:rFonts w:eastAsia="仿宋_GB2312"/>
          <w:kern w:val="2"/>
          <w:sz w:val="28"/>
          <w:szCs w:val="22"/>
          <w:lang w:val="en-US"/>
        </w:rPr>
        <w:t>.</w:t>
      </w:r>
    </w:p>
    <w:tbl>
      <w:tblPr>
        <w:tblW w:w="9331" w:type="dxa"/>
        <w:jc w:val="center"/>
        <w:tblLook w:val="04A0" w:firstRow="1" w:lastRow="0" w:firstColumn="1" w:lastColumn="0" w:noHBand="0" w:noVBand="1"/>
      </w:tblPr>
      <w:tblGrid>
        <w:gridCol w:w="2972"/>
        <w:gridCol w:w="1134"/>
        <w:gridCol w:w="1134"/>
        <w:gridCol w:w="1243"/>
        <w:gridCol w:w="2848"/>
      </w:tblGrid>
      <w:tr w:rsidR="00082540" w:rsidRPr="00082540" w14:paraId="7596EC36" w14:textId="77777777" w:rsidTr="009D1752">
        <w:trPr>
          <w:trHeight w:val="623"/>
          <w:jc w:val="center"/>
        </w:trPr>
        <w:tc>
          <w:tcPr>
            <w:tcW w:w="9331" w:type="dxa"/>
            <w:gridSpan w:val="5"/>
            <w:shd w:val="clear" w:color="auto" w:fill="auto"/>
            <w:noWrap/>
            <w:vAlign w:val="center"/>
          </w:tcPr>
          <w:p w14:paraId="12A07B20" w14:textId="31A0475A" w:rsidR="00082540" w:rsidRDefault="00082540" w:rsidP="009D1752">
            <w:pPr>
              <w:jc w:val="center"/>
              <w:rPr>
                <w:b/>
                <w:color w:val="000000"/>
                <w:sz w:val="28"/>
                <w:szCs w:val="28"/>
                <w:lang w:val="en-US"/>
              </w:rPr>
            </w:pPr>
            <w:r w:rsidRPr="009D1752">
              <w:rPr>
                <w:b/>
                <w:color w:val="000000"/>
                <w:sz w:val="28"/>
                <w:szCs w:val="28"/>
                <w:lang w:val="en-US"/>
              </w:rPr>
              <w:t>2018 annual comparison of actual expenditure and budget</w:t>
            </w:r>
          </w:p>
          <w:p w14:paraId="18970B3D" w14:textId="3DDE4241" w:rsidR="00082540" w:rsidRPr="009D1752" w:rsidRDefault="00082540" w:rsidP="009D1752">
            <w:pPr>
              <w:jc w:val="center"/>
              <w:rPr>
                <w:rFonts w:eastAsia="华文楷体"/>
                <w:b/>
                <w:color w:val="000000"/>
                <w:sz w:val="22"/>
                <w:szCs w:val="22"/>
                <w:lang w:val="en-US"/>
              </w:rPr>
            </w:pPr>
            <w:r w:rsidRPr="009D1752">
              <w:rPr>
                <w:color w:val="000000"/>
                <w:sz w:val="20"/>
                <w:szCs w:val="20"/>
                <w:lang w:val="en-US"/>
              </w:rPr>
              <w:t>Unit: CNY ‘000</w:t>
            </w:r>
          </w:p>
        </w:tc>
      </w:tr>
      <w:tr w:rsidR="00082540" w:rsidRPr="00082540" w14:paraId="213B4963" w14:textId="77777777" w:rsidTr="009D1752">
        <w:trPr>
          <w:trHeight w:val="330"/>
          <w:jc w:val="center"/>
        </w:trPr>
        <w:tc>
          <w:tcPr>
            <w:tcW w:w="2972" w:type="dxa"/>
            <w:shd w:val="clear" w:color="auto" w:fill="auto"/>
            <w:noWrap/>
            <w:vAlign w:val="center"/>
            <w:hideMark/>
          </w:tcPr>
          <w:p w14:paraId="39F0D7A4" w14:textId="77777777" w:rsidR="00082540" w:rsidRPr="009D1752" w:rsidRDefault="00082540" w:rsidP="00082540">
            <w:pPr>
              <w:jc w:val="center"/>
              <w:rPr>
                <w:rFonts w:eastAsia="华文楷体"/>
                <w:b/>
                <w:color w:val="000000"/>
                <w:sz w:val="22"/>
                <w:szCs w:val="22"/>
                <w:lang w:val="en-US"/>
              </w:rPr>
            </w:pPr>
          </w:p>
        </w:tc>
        <w:tc>
          <w:tcPr>
            <w:tcW w:w="1134" w:type="dxa"/>
            <w:shd w:val="clear" w:color="auto" w:fill="auto"/>
            <w:noWrap/>
            <w:vAlign w:val="center"/>
            <w:hideMark/>
          </w:tcPr>
          <w:p w14:paraId="678D8A83" w14:textId="77777777" w:rsidR="00082540" w:rsidRPr="009D1752" w:rsidRDefault="00082540" w:rsidP="00082540">
            <w:pPr>
              <w:jc w:val="center"/>
              <w:rPr>
                <w:rFonts w:eastAsia="华文楷体"/>
                <w:b/>
                <w:color w:val="000000"/>
                <w:sz w:val="22"/>
                <w:szCs w:val="22"/>
                <w:lang w:val="en-US"/>
              </w:rPr>
            </w:pPr>
            <w:r w:rsidRPr="009D1752">
              <w:rPr>
                <w:rFonts w:eastAsia="华文楷体"/>
                <w:b/>
                <w:color w:val="000000"/>
                <w:sz w:val="22"/>
                <w:szCs w:val="22"/>
                <w:lang w:val="en-US"/>
              </w:rPr>
              <w:t>2018</w:t>
            </w:r>
            <w:r w:rsidRPr="009D1752">
              <w:rPr>
                <w:b/>
                <w:bCs/>
                <w:color w:val="000000"/>
                <w:szCs w:val="21"/>
              </w:rPr>
              <w:t xml:space="preserve"> Actual</w:t>
            </w:r>
          </w:p>
        </w:tc>
        <w:tc>
          <w:tcPr>
            <w:tcW w:w="1134" w:type="dxa"/>
            <w:shd w:val="clear" w:color="auto" w:fill="auto"/>
            <w:noWrap/>
            <w:vAlign w:val="center"/>
            <w:hideMark/>
          </w:tcPr>
          <w:p w14:paraId="3C07BEEC" w14:textId="77777777" w:rsidR="00082540" w:rsidRPr="009D1752" w:rsidRDefault="00082540" w:rsidP="00082540">
            <w:pPr>
              <w:jc w:val="center"/>
              <w:rPr>
                <w:rFonts w:eastAsia="华文楷体"/>
                <w:b/>
                <w:color w:val="000000"/>
                <w:sz w:val="22"/>
                <w:szCs w:val="22"/>
                <w:lang w:val="en-US"/>
              </w:rPr>
            </w:pPr>
            <w:r w:rsidRPr="009D1752">
              <w:rPr>
                <w:rFonts w:eastAsia="华文楷体"/>
                <w:b/>
                <w:color w:val="000000"/>
                <w:sz w:val="22"/>
                <w:szCs w:val="22"/>
                <w:lang w:val="en-US"/>
              </w:rPr>
              <w:t>2018</w:t>
            </w:r>
            <w:r w:rsidRPr="009D1752">
              <w:rPr>
                <w:b/>
                <w:bCs/>
                <w:color w:val="000000"/>
                <w:szCs w:val="21"/>
              </w:rPr>
              <w:t xml:space="preserve"> budget</w:t>
            </w:r>
          </w:p>
        </w:tc>
        <w:tc>
          <w:tcPr>
            <w:tcW w:w="1243" w:type="dxa"/>
            <w:shd w:val="clear" w:color="auto" w:fill="auto"/>
            <w:noWrap/>
            <w:vAlign w:val="center"/>
            <w:hideMark/>
          </w:tcPr>
          <w:p w14:paraId="10343CD4" w14:textId="77777777" w:rsidR="00082540" w:rsidRPr="009D1752" w:rsidRDefault="00082540" w:rsidP="00082540">
            <w:pPr>
              <w:jc w:val="center"/>
              <w:rPr>
                <w:rFonts w:eastAsia="华文楷体"/>
                <w:b/>
                <w:color w:val="000000"/>
                <w:sz w:val="22"/>
                <w:szCs w:val="22"/>
                <w:lang w:val="en-US"/>
              </w:rPr>
            </w:pPr>
            <w:r w:rsidRPr="009D1752">
              <w:rPr>
                <w:b/>
                <w:bCs/>
                <w:color w:val="000000"/>
                <w:szCs w:val="21"/>
              </w:rPr>
              <w:t>difference</w:t>
            </w:r>
          </w:p>
        </w:tc>
        <w:tc>
          <w:tcPr>
            <w:tcW w:w="2848" w:type="dxa"/>
            <w:shd w:val="clear" w:color="auto" w:fill="auto"/>
            <w:vAlign w:val="center"/>
            <w:hideMark/>
          </w:tcPr>
          <w:p w14:paraId="3F0E435E" w14:textId="77777777" w:rsidR="00082540" w:rsidRPr="009D1752" w:rsidRDefault="00082540" w:rsidP="00082540">
            <w:pPr>
              <w:jc w:val="center"/>
              <w:rPr>
                <w:rFonts w:eastAsia="华文楷体"/>
                <w:b/>
                <w:color w:val="000000"/>
                <w:sz w:val="22"/>
                <w:szCs w:val="22"/>
                <w:lang w:val="en-US"/>
              </w:rPr>
            </w:pPr>
            <w:r w:rsidRPr="009D1752">
              <w:rPr>
                <w:b/>
                <w:bCs/>
                <w:color w:val="000000"/>
                <w:szCs w:val="21"/>
              </w:rPr>
              <w:t>Note</w:t>
            </w:r>
          </w:p>
        </w:tc>
      </w:tr>
      <w:tr w:rsidR="00082540" w:rsidRPr="00082540" w14:paraId="3D3324EE" w14:textId="77777777" w:rsidTr="009D1752">
        <w:trPr>
          <w:trHeight w:val="330"/>
          <w:jc w:val="center"/>
        </w:trPr>
        <w:tc>
          <w:tcPr>
            <w:tcW w:w="2972" w:type="dxa"/>
            <w:shd w:val="clear" w:color="auto" w:fill="auto"/>
            <w:noWrap/>
            <w:vAlign w:val="center"/>
            <w:hideMark/>
          </w:tcPr>
          <w:p w14:paraId="4ACB8811" w14:textId="77777777" w:rsidR="00082540" w:rsidRPr="009D1752" w:rsidRDefault="00082540" w:rsidP="00082540">
            <w:pPr>
              <w:rPr>
                <w:rFonts w:eastAsia="华文楷体"/>
                <w:color w:val="000000"/>
                <w:sz w:val="22"/>
                <w:szCs w:val="22"/>
                <w:lang w:val="en-US"/>
              </w:rPr>
            </w:pPr>
            <w:r w:rsidRPr="009D1752">
              <w:rPr>
                <w:b/>
                <w:bCs/>
                <w:color w:val="000000"/>
                <w:sz w:val="21"/>
                <w:szCs w:val="21"/>
                <w:lang w:val="en-US"/>
              </w:rPr>
              <w:t>1. Office &amp; Admin Expense</w:t>
            </w:r>
          </w:p>
        </w:tc>
        <w:tc>
          <w:tcPr>
            <w:tcW w:w="1134" w:type="dxa"/>
            <w:shd w:val="clear" w:color="auto" w:fill="auto"/>
            <w:noWrap/>
            <w:vAlign w:val="center"/>
            <w:hideMark/>
          </w:tcPr>
          <w:p w14:paraId="7D2FDE0C"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4,180</w:t>
            </w:r>
          </w:p>
        </w:tc>
        <w:tc>
          <w:tcPr>
            <w:tcW w:w="1134" w:type="dxa"/>
            <w:shd w:val="clear" w:color="auto" w:fill="auto"/>
            <w:noWrap/>
            <w:vAlign w:val="center"/>
            <w:hideMark/>
          </w:tcPr>
          <w:p w14:paraId="30666573" w14:textId="799DD532"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5,400</w:t>
            </w:r>
          </w:p>
        </w:tc>
        <w:tc>
          <w:tcPr>
            <w:tcW w:w="1243" w:type="dxa"/>
            <w:shd w:val="clear" w:color="auto" w:fill="auto"/>
            <w:noWrap/>
            <w:vAlign w:val="center"/>
            <w:hideMark/>
          </w:tcPr>
          <w:p w14:paraId="634EC69D" w14:textId="77777777" w:rsidR="00082540" w:rsidRPr="009D1752" w:rsidRDefault="00082540" w:rsidP="009D1752">
            <w:pPr>
              <w:ind w:firstLineChars="100" w:firstLine="210"/>
              <w:jc w:val="right"/>
              <w:rPr>
                <w:color w:val="000000"/>
                <w:kern w:val="2"/>
                <w:sz w:val="21"/>
                <w:szCs w:val="21"/>
                <w:lang w:val="en-US"/>
              </w:rPr>
            </w:pPr>
            <w:r w:rsidRPr="009D1752">
              <w:rPr>
                <w:color w:val="000000"/>
                <w:kern w:val="2"/>
                <w:sz w:val="21"/>
                <w:szCs w:val="21"/>
                <w:lang w:val="en-US"/>
              </w:rPr>
              <w:t>-1,220</w:t>
            </w:r>
          </w:p>
        </w:tc>
        <w:tc>
          <w:tcPr>
            <w:tcW w:w="2848" w:type="dxa"/>
            <w:shd w:val="clear" w:color="auto" w:fill="auto"/>
            <w:vAlign w:val="center"/>
            <w:hideMark/>
          </w:tcPr>
          <w:p w14:paraId="60266D12" w14:textId="77777777" w:rsidR="00082540" w:rsidRPr="009D1752" w:rsidRDefault="00082540" w:rsidP="00082540">
            <w:pPr>
              <w:rPr>
                <w:rFonts w:eastAsia="华文楷体"/>
                <w:color w:val="000000"/>
                <w:sz w:val="22"/>
                <w:szCs w:val="22"/>
                <w:lang w:val="en-US"/>
              </w:rPr>
            </w:pPr>
            <w:r w:rsidRPr="009D1752">
              <w:rPr>
                <w:rFonts w:eastAsia="华文楷体" w:hint="eastAsia"/>
                <w:color w:val="000000"/>
                <w:sz w:val="22"/>
                <w:szCs w:val="22"/>
                <w:lang w:val="en-US"/>
              </w:rPr>
              <w:t xml:space="preserve">　</w:t>
            </w:r>
          </w:p>
        </w:tc>
      </w:tr>
      <w:tr w:rsidR="00082540" w:rsidRPr="00082540" w14:paraId="0C654E13" w14:textId="77777777" w:rsidTr="009D1752">
        <w:trPr>
          <w:trHeight w:val="330"/>
          <w:jc w:val="center"/>
        </w:trPr>
        <w:tc>
          <w:tcPr>
            <w:tcW w:w="2972" w:type="dxa"/>
            <w:shd w:val="clear" w:color="auto" w:fill="auto"/>
            <w:noWrap/>
            <w:vAlign w:val="center"/>
            <w:hideMark/>
          </w:tcPr>
          <w:p w14:paraId="6E1C8CAF" w14:textId="2BE8BE78" w:rsidR="00082540" w:rsidRPr="009D1752" w:rsidRDefault="00082540" w:rsidP="00082540">
            <w:pPr>
              <w:rPr>
                <w:rFonts w:eastAsia="华文楷体"/>
                <w:color w:val="000000"/>
                <w:sz w:val="22"/>
                <w:szCs w:val="22"/>
                <w:lang w:val="en-US"/>
              </w:rPr>
            </w:pPr>
            <w:r w:rsidRPr="009D1752">
              <w:rPr>
                <w:b/>
                <w:bCs/>
                <w:color w:val="000000"/>
                <w:sz w:val="21"/>
                <w:szCs w:val="21"/>
                <w:lang w:val="en-US"/>
              </w:rPr>
              <w:t>2. Payroll Cost</w:t>
            </w:r>
          </w:p>
        </w:tc>
        <w:tc>
          <w:tcPr>
            <w:tcW w:w="1134" w:type="dxa"/>
            <w:shd w:val="clear" w:color="auto" w:fill="auto"/>
            <w:noWrap/>
            <w:vAlign w:val="center"/>
          </w:tcPr>
          <w:p w14:paraId="584E07B0" w14:textId="77777777" w:rsidR="00082540" w:rsidRPr="009D1752" w:rsidRDefault="00082540" w:rsidP="009D1752">
            <w:pPr>
              <w:jc w:val="right"/>
              <w:rPr>
                <w:color w:val="000000"/>
                <w:kern w:val="2"/>
                <w:sz w:val="21"/>
                <w:szCs w:val="21"/>
                <w:lang w:val="en-US"/>
              </w:rPr>
            </w:pPr>
          </w:p>
        </w:tc>
        <w:tc>
          <w:tcPr>
            <w:tcW w:w="1134" w:type="dxa"/>
            <w:shd w:val="clear" w:color="auto" w:fill="auto"/>
            <w:noWrap/>
            <w:vAlign w:val="center"/>
          </w:tcPr>
          <w:p w14:paraId="4489DD5A" w14:textId="77777777" w:rsidR="00082540" w:rsidRPr="009D1752" w:rsidRDefault="00082540" w:rsidP="009D1752">
            <w:pPr>
              <w:jc w:val="right"/>
              <w:rPr>
                <w:color w:val="000000"/>
                <w:kern w:val="2"/>
                <w:sz w:val="21"/>
                <w:szCs w:val="21"/>
                <w:lang w:val="en-US"/>
              </w:rPr>
            </w:pPr>
          </w:p>
        </w:tc>
        <w:tc>
          <w:tcPr>
            <w:tcW w:w="1243" w:type="dxa"/>
            <w:shd w:val="clear" w:color="auto" w:fill="auto"/>
            <w:noWrap/>
            <w:vAlign w:val="center"/>
          </w:tcPr>
          <w:p w14:paraId="77FDAD8B" w14:textId="77777777" w:rsidR="00082540" w:rsidRPr="009D1752" w:rsidRDefault="00082540" w:rsidP="009D1752">
            <w:pPr>
              <w:ind w:firstLineChars="100" w:firstLine="210"/>
              <w:jc w:val="right"/>
              <w:rPr>
                <w:color w:val="000000"/>
                <w:kern w:val="2"/>
                <w:sz w:val="21"/>
                <w:szCs w:val="21"/>
                <w:lang w:val="en-US"/>
              </w:rPr>
            </w:pPr>
          </w:p>
        </w:tc>
        <w:tc>
          <w:tcPr>
            <w:tcW w:w="2848" w:type="dxa"/>
            <w:shd w:val="clear" w:color="auto" w:fill="auto"/>
            <w:vAlign w:val="center"/>
          </w:tcPr>
          <w:p w14:paraId="59F7A442" w14:textId="77777777" w:rsidR="00082540" w:rsidRPr="009D1752" w:rsidRDefault="00082540" w:rsidP="00082540">
            <w:pPr>
              <w:rPr>
                <w:rFonts w:eastAsia="华文楷体"/>
                <w:color w:val="000000"/>
                <w:sz w:val="22"/>
                <w:szCs w:val="22"/>
                <w:lang w:val="en-US"/>
              </w:rPr>
            </w:pPr>
          </w:p>
        </w:tc>
      </w:tr>
      <w:tr w:rsidR="00082540" w:rsidRPr="00082540" w14:paraId="144621DE" w14:textId="77777777" w:rsidTr="009D1752">
        <w:trPr>
          <w:trHeight w:val="660"/>
          <w:jc w:val="center"/>
        </w:trPr>
        <w:tc>
          <w:tcPr>
            <w:tcW w:w="2972" w:type="dxa"/>
            <w:shd w:val="clear" w:color="auto" w:fill="auto"/>
            <w:noWrap/>
            <w:vAlign w:val="center"/>
            <w:hideMark/>
          </w:tcPr>
          <w:p w14:paraId="2570D711" w14:textId="77777777" w:rsidR="00082540" w:rsidRPr="009D1752" w:rsidRDefault="00082540" w:rsidP="00082540">
            <w:pPr>
              <w:rPr>
                <w:rFonts w:eastAsia="华文楷体"/>
                <w:color w:val="000000"/>
                <w:sz w:val="22"/>
                <w:szCs w:val="22"/>
                <w:lang w:val="en-US"/>
              </w:rPr>
            </w:pPr>
            <w:r w:rsidRPr="009D1752">
              <w:rPr>
                <w:color w:val="000000"/>
                <w:sz w:val="21"/>
                <w:szCs w:val="21"/>
                <w:lang w:val="en-US"/>
              </w:rPr>
              <w:t>Basic Payroll and Staff Insurance</w:t>
            </w:r>
          </w:p>
        </w:tc>
        <w:tc>
          <w:tcPr>
            <w:tcW w:w="1134" w:type="dxa"/>
            <w:shd w:val="clear" w:color="000000" w:fill="FFFFFF"/>
            <w:noWrap/>
            <w:vAlign w:val="center"/>
            <w:hideMark/>
          </w:tcPr>
          <w:p w14:paraId="74F7686F"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27,548</w:t>
            </w:r>
          </w:p>
        </w:tc>
        <w:tc>
          <w:tcPr>
            <w:tcW w:w="1134" w:type="dxa"/>
            <w:shd w:val="clear" w:color="000000" w:fill="FFFFFF"/>
            <w:noWrap/>
            <w:vAlign w:val="center"/>
            <w:hideMark/>
          </w:tcPr>
          <w:p w14:paraId="526E728B"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29,300</w:t>
            </w:r>
          </w:p>
        </w:tc>
        <w:tc>
          <w:tcPr>
            <w:tcW w:w="1243" w:type="dxa"/>
            <w:shd w:val="clear" w:color="000000" w:fill="FFFFFF"/>
            <w:noWrap/>
            <w:vAlign w:val="center"/>
            <w:hideMark/>
          </w:tcPr>
          <w:p w14:paraId="722D2106"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-1,752</w:t>
            </w:r>
          </w:p>
        </w:tc>
        <w:tc>
          <w:tcPr>
            <w:tcW w:w="2848" w:type="dxa"/>
            <w:shd w:val="clear" w:color="auto" w:fill="auto"/>
            <w:vAlign w:val="center"/>
          </w:tcPr>
          <w:p w14:paraId="4858DDE9" w14:textId="2FA5C795" w:rsidR="00082540" w:rsidRPr="009D1752" w:rsidRDefault="00082540" w:rsidP="00682D6B">
            <w:pPr>
              <w:rPr>
                <w:rFonts w:eastAsia="华文楷体"/>
                <w:color w:val="000000"/>
                <w:sz w:val="22"/>
                <w:szCs w:val="22"/>
                <w:lang w:val="en-US"/>
              </w:rPr>
            </w:pPr>
            <w:r>
              <w:rPr>
                <w:rFonts w:eastAsia="华文楷体"/>
                <w:color w:val="000000"/>
                <w:sz w:val="22"/>
                <w:szCs w:val="22"/>
                <w:lang w:val="en-US"/>
              </w:rPr>
              <w:t xml:space="preserve">5 </w:t>
            </w:r>
            <w:r w:rsidRPr="00082540">
              <w:rPr>
                <w:rFonts w:eastAsia="华文楷体"/>
                <w:color w:val="000000"/>
                <w:sz w:val="22"/>
                <w:szCs w:val="22"/>
                <w:lang w:val="en-US"/>
              </w:rPr>
              <w:t>resignations and</w:t>
            </w:r>
            <w:r>
              <w:rPr>
                <w:rFonts w:eastAsia="华文楷体"/>
                <w:color w:val="000000"/>
                <w:sz w:val="22"/>
                <w:szCs w:val="22"/>
                <w:lang w:val="en-US"/>
              </w:rPr>
              <w:t xml:space="preserve"> 2</w:t>
            </w:r>
            <w:r w:rsidRPr="00082540">
              <w:rPr>
                <w:rFonts w:eastAsia="华文楷体"/>
                <w:color w:val="000000"/>
                <w:sz w:val="22"/>
                <w:szCs w:val="22"/>
                <w:lang w:val="en-US"/>
              </w:rPr>
              <w:t xml:space="preserve"> </w:t>
            </w:r>
            <w:r w:rsidR="00682D6B">
              <w:rPr>
                <w:rFonts w:eastAsia="华文楷体"/>
                <w:color w:val="000000"/>
                <w:sz w:val="22"/>
                <w:szCs w:val="22"/>
                <w:lang w:val="en-US"/>
              </w:rPr>
              <w:t>new hires</w:t>
            </w:r>
          </w:p>
        </w:tc>
      </w:tr>
      <w:tr w:rsidR="00082540" w:rsidRPr="00082540" w14:paraId="29174385" w14:textId="77777777" w:rsidTr="009D1752">
        <w:trPr>
          <w:trHeight w:val="330"/>
          <w:jc w:val="center"/>
        </w:trPr>
        <w:tc>
          <w:tcPr>
            <w:tcW w:w="2972" w:type="dxa"/>
            <w:shd w:val="clear" w:color="auto" w:fill="auto"/>
            <w:noWrap/>
            <w:vAlign w:val="center"/>
          </w:tcPr>
          <w:p w14:paraId="618DFC8A" w14:textId="70A5E813" w:rsidR="00082540" w:rsidRPr="009D1752" w:rsidRDefault="00082540" w:rsidP="00082540">
            <w:pPr>
              <w:rPr>
                <w:rFonts w:eastAsia="华文楷体"/>
                <w:color w:val="000000"/>
                <w:sz w:val="22"/>
                <w:szCs w:val="22"/>
                <w:lang w:val="en-US"/>
              </w:rPr>
            </w:pPr>
            <w:r w:rsidRPr="009D1752">
              <w:rPr>
                <w:color w:val="000000"/>
                <w:sz w:val="21"/>
                <w:szCs w:val="21"/>
                <w:lang w:val="en-US"/>
              </w:rPr>
              <w:t>Staff welfare</w:t>
            </w:r>
          </w:p>
        </w:tc>
        <w:tc>
          <w:tcPr>
            <w:tcW w:w="1134" w:type="dxa"/>
            <w:shd w:val="clear" w:color="000000" w:fill="FFFFFF"/>
            <w:noWrap/>
            <w:vAlign w:val="center"/>
          </w:tcPr>
          <w:p w14:paraId="1F1E317F"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1,360</w:t>
            </w:r>
          </w:p>
        </w:tc>
        <w:tc>
          <w:tcPr>
            <w:tcW w:w="1134" w:type="dxa"/>
            <w:shd w:val="clear" w:color="000000" w:fill="FFFFFF"/>
            <w:noWrap/>
            <w:vAlign w:val="center"/>
          </w:tcPr>
          <w:p w14:paraId="645D962C"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1,080</w:t>
            </w:r>
          </w:p>
        </w:tc>
        <w:tc>
          <w:tcPr>
            <w:tcW w:w="1243" w:type="dxa"/>
            <w:shd w:val="clear" w:color="000000" w:fill="FFFFFF"/>
            <w:noWrap/>
            <w:vAlign w:val="center"/>
          </w:tcPr>
          <w:p w14:paraId="7557094C"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280</w:t>
            </w:r>
          </w:p>
        </w:tc>
        <w:tc>
          <w:tcPr>
            <w:tcW w:w="2848" w:type="dxa"/>
            <w:shd w:val="clear" w:color="auto" w:fill="auto"/>
            <w:vAlign w:val="center"/>
          </w:tcPr>
          <w:p w14:paraId="270C975B" w14:textId="77777777" w:rsidR="00082540" w:rsidRPr="009D1752" w:rsidRDefault="00082540" w:rsidP="00082540">
            <w:pPr>
              <w:rPr>
                <w:rFonts w:eastAsia="华文楷体"/>
                <w:color w:val="000000"/>
                <w:sz w:val="22"/>
                <w:szCs w:val="22"/>
                <w:lang w:val="en-US"/>
              </w:rPr>
            </w:pPr>
            <w:r w:rsidRPr="009D1752">
              <w:rPr>
                <w:rFonts w:eastAsia="华文楷体"/>
                <w:color w:val="000000"/>
                <w:sz w:val="22"/>
                <w:szCs w:val="22"/>
                <w:lang w:val="en-US"/>
              </w:rPr>
              <w:t xml:space="preserve">   </w:t>
            </w:r>
          </w:p>
        </w:tc>
      </w:tr>
      <w:tr w:rsidR="00082540" w:rsidRPr="00082540" w14:paraId="5643A3E5" w14:textId="77777777" w:rsidTr="009D1752">
        <w:trPr>
          <w:trHeight w:val="330"/>
          <w:jc w:val="center"/>
        </w:trPr>
        <w:tc>
          <w:tcPr>
            <w:tcW w:w="2972" w:type="dxa"/>
            <w:shd w:val="clear" w:color="auto" w:fill="auto"/>
            <w:noWrap/>
            <w:vAlign w:val="center"/>
            <w:hideMark/>
          </w:tcPr>
          <w:p w14:paraId="7C860766" w14:textId="77777777" w:rsidR="00082540" w:rsidRPr="009D1752" w:rsidRDefault="00082540" w:rsidP="00082540">
            <w:pPr>
              <w:rPr>
                <w:rFonts w:eastAsia="华文楷体"/>
                <w:color w:val="000000"/>
                <w:sz w:val="22"/>
                <w:szCs w:val="22"/>
                <w:lang w:val="en-US"/>
              </w:rPr>
            </w:pPr>
            <w:r w:rsidRPr="009D1752">
              <w:rPr>
                <w:color w:val="000000"/>
                <w:sz w:val="21"/>
                <w:szCs w:val="21"/>
                <w:lang w:val="en-US"/>
              </w:rPr>
              <w:t>2018 Bonus</w:t>
            </w:r>
          </w:p>
        </w:tc>
        <w:tc>
          <w:tcPr>
            <w:tcW w:w="1134" w:type="dxa"/>
            <w:shd w:val="clear" w:color="000000" w:fill="FFFFFF"/>
            <w:noWrap/>
            <w:vAlign w:val="center"/>
            <w:hideMark/>
          </w:tcPr>
          <w:p w14:paraId="3CD6DC33"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0</w:t>
            </w:r>
          </w:p>
        </w:tc>
        <w:tc>
          <w:tcPr>
            <w:tcW w:w="1134" w:type="dxa"/>
            <w:shd w:val="clear" w:color="000000" w:fill="FFFFFF"/>
            <w:noWrap/>
            <w:vAlign w:val="center"/>
            <w:hideMark/>
          </w:tcPr>
          <w:p w14:paraId="19CA6C04"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7,000</w:t>
            </w:r>
          </w:p>
        </w:tc>
        <w:tc>
          <w:tcPr>
            <w:tcW w:w="1243" w:type="dxa"/>
            <w:shd w:val="clear" w:color="000000" w:fill="FFFFFF"/>
            <w:noWrap/>
            <w:vAlign w:val="center"/>
            <w:hideMark/>
          </w:tcPr>
          <w:p w14:paraId="059EA6FB"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-7,000</w:t>
            </w:r>
          </w:p>
        </w:tc>
        <w:tc>
          <w:tcPr>
            <w:tcW w:w="2848" w:type="dxa"/>
            <w:shd w:val="clear" w:color="auto" w:fill="auto"/>
            <w:vAlign w:val="center"/>
            <w:hideMark/>
          </w:tcPr>
          <w:p w14:paraId="32789046" w14:textId="77777777" w:rsidR="00082540" w:rsidRPr="009D1752" w:rsidRDefault="00082540" w:rsidP="00082540">
            <w:pPr>
              <w:rPr>
                <w:rFonts w:eastAsia="华文楷体"/>
                <w:color w:val="000000"/>
                <w:sz w:val="22"/>
                <w:szCs w:val="22"/>
                <w:lang w:val="en-US"/>
              </w:rPr>
            </w:pPr>
          </w:p>
        </w:tc>
      </w:tr>
      <w:tr w:rsidR="00082540" w:rsidRPr="00082540" w14:paraId="5089A708" w14:textId="77777777" w:rsidTr="009D1752">
        <w:trPr>
          <w:trHeight w:val="330"/>
          <w:jc w:val="center"/>
        </w:trPr>
        <w:tc>
          <w:tcPr>
            <w:tcW w:w="2972" w:type="dxa"/>
            <w:shd w:val="clear" w:color="auto" w:fill="auto"/>
            <w:noWrap/>
            <w:vAlign w:val="center"/>
          </w:tcPr>
          <w:p w14:paraId="7BF3798E" w14:textId="77777777" w:rsidR="00082540" w:rsidRPr="009D1752" w:rsidRDefault="00082540" w:rsidP="00082540">
            <w:pPr>
              <w:rPr>
                <w:color w:val="000000"/>
                <w:sz w:val="21"/>
                <w:szCs w:val="21"/>
                <w:lang w:val="en-US"/>
              </w:rPr>
            </w:pPr>
            <w:r w:rsidRPr="009D1752">
              <w:rPr>
                <w:b/>
                <w:bCs/>
                <w:color w:val="000000"/>
                <w:sz w:val="21"/>
                <w:szCs w:val="21"/>
                <w:lang w:val="en-US"/>
              </w:rPr>
              <w:t>Total Payroll Cost</w:t>
            </w:r>
          </w:p>
        </w:tc>
        <w:tc>
          <w:tcPr>
            <w:tcW w:w="1134" w:type="dxa"/>
            <w:shd w:val="clear" w:color="000000" w:fill="FFFFFF"/>
            <w:noWrap/>
            <w:vAlign w:val="center"/>
          </w:tcPr>
          <w:p w14:paraId="468B35F8"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28,908</w:t>
            </w:r>
          </w:p>
        </w:tc>
        <w:tc>
          <w:tcPr>
            <w:tcW w:w="1134" w:type="dxa"/>
            <w:shd w:val="clear" w:color="000000" w:fill="FFFFFF"/>
            <w:noWrap/>
            <w:vAlign w:val="center"/>
          </w:tcPr>
          <w:p w14:paraId="65A24ED2" w14:textId="77777777" w:rsidR="00082540" w:rsidRPr="009D1752" w:rsidRDefault="00082540" w:rsidP="009D1752">
            <w:pPr>
              <w:jc w:val="right"/>
              <w:rPr>
                <w:color w:val="000000"/>
                <w:kern w:val="2"/>
                <w:sz w:val="21"/>
                <w:szCs w:val="21"/>
                <w:lang w:val="en-US"/>
              </w:rPr>
            </w:pPr>
            <w:r w:rsidRPr="009D1752">
              <w:rPr>
                <w:rFonts w:hint="eastAsia"/>
                <w:color w:val="000000"/>
                <w:kern w:val="2"/>
                <w:sz w:val="21"/>
                <w:szCs w:val="21"/>
                <w:lang w:val="en-US"/>
              </w:rPr>
              <w:t xml:space="preserve">　</w:t>
            </w:r>
            <w:r w:rsidRPr="009D1752">
              <w:rPr>
                <w:color w:val="000000"/>
                <w:kern w:val="2"/>
                <w:sz w:val="21"/>
                <w:szCs w:val="21"/>
                <w:lang w:val="en-US"/>
              </w:rPr>
              <w:t>37,380</w:t>
            </w:r>
          </w:p>
        </w:tc>
        <w:tc>
          <w:tcPr>
            <w:tcW w:w="1243" w:type="dxa"/>
            <w:shd w:val="clear" w:color="000000" w:fill="FFFFFF"/>
            <w:noWrap/>
            <w:vAlign w:val="center"/>
          </w:tcPr>
          <w:p w14:paraId="1EB6C56D" w14:textId="77777777" w:rsidR="00082540" w:rsidRPr="009D1752" w:rsidRDefault="00082540" w:rsidP="009D1752">
            <w:pPr>
              <w:ind w:firstLineChars="100" w:firstLine="210"/>
              <w:jc w:val="right"/>
              <w:rPr>
                <w:color w:val="000000"/>
                <w:kern w:val="2"/>
                <w:sz w:val="21"/>
                <w:szCs w:val="21"/>
                <w:lang w:val="en-US"/>
              </w:rPr>
            </w:pPr>
            <w:r w:rsidRPr="009D1752">
              <w:rPr>
                <w:color w:val="000000"/>
                <w:kern w:val="2"/>
                <w:sz w:val="21"/>
                <w:szCs w:val="21"/>
                <w:lang w:val="en-US"/>
              </w:rPr>
              <w:t>-8,472</w:t>
            </w:r>
          </w:p>
        </w:tc>
        <w:tc>
          <w:tcPr>
            <w:tcW w:w="2848" w:type="dxa"/>
            <w:shd w:val="clear" w:color="auto" w:fill="auto"/>
            <w:vAlign w:val="center"/>
          </w:tcPr>
          <w:p w14:paraId="64C0B917" w14:textId="77777777" w:rsidR="00082540" w:rsidRPr="009D1752" w:rsidRDefault="00082540" w:rsidP="00082540">
            <w:pPr>
              <w:rPr>
                <w:rFonts w:eastAsia="华文楷体"/>
                <w:color w:val="000000"/>
                <w:sz w:val="22"/>
                <w:szCs w:val="22"/>
                <w:lang w:val="en-US"/>
              </w:rPr>
            </w:pPr>
          </w:p>
        </w:tc>
      </w:tr>
      <w:tr w:rsidR="00082540" w:rsidRPr="00082540" w14:paraId="7368BE04" w14:textId="77777777" w:rsidTr="009D1752">
        <w:trPr>
          <w:trHeight w:val="416"/>
          <w:jc w:val="center"/>
        </w:trPr>
        <w:tc>
          <w:tcPr>
            <w:tcW w:w="2972" w:type="dxa"/>
            <w:shd w:val="clear" w:color="auto" w:fill="auto"/>
            <w:noWrap/>
            <w:vAlign w:val="center"/>
            <w:hideMark/>
          </w:tcPr>
          <w:p w14:paraId="4BD9CB87" w14:textId="257245B4" w:rsidR="00082540" w:rsidRPr="009D1752" w:rsidRDefault="00082540" w:rsidP="00082540">
            <w:pPr>
              <w:rPr>
                <w:rFonts w:eastAsia="华文楷体"/>
                <w:color w:val="000000"/>
                <w:sz w:val="22"/>
                <w:szCs w:val="22"/>
                <w:lang w:val="en-US"/>
              </w:rPr>
            </w:pPr>
            <w:r w:rsidRPr="009D1752">
              <w:rPr>
                <w:b/>
                <w:bCs/>
                <w:color w:val="000000"/>
                <w:sz w:val="21"/>
                <w:szCs w:val="21"/>
                <w:lang w:val="en-US"/>
              </w:rPr>
              <w:t>3. Depreciation and amortization</w:t>
            </w:r>
          </w:p>
        </w:tc>
        <w:tc>
          <w:tcPr>
            <w:tcW w:w="1134" w:type="dxa"/>
            <w:shd w:val="clear" w:color="auto" w:fill="auto"/>
            <w:noWrap/>
            <w:vAlign w:val="center"/>
            <w:hideMark/>
          </w:tcPr>
          <w:p w14:paraId="7D61C9EA" w14:textId="29687F18"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100</w:t>
            </w:r>
          </w:p>
        </w:tc>
        <w:tc>
          <w:tcPr>
            <w:tcW w:w="1134" w:type="dxa"/>
            <w:shd w:val="clear" w:color="auto" w:fill="auto"/>
            <w:noWrap/>
            <w:vAlign w:val="center"/>
            <w:hideMark/>
          </w:tcPr>
          <w:p w14:paraId="2B8C07FA" w14:textId="4B017EAE"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100</w:t>
            </w:r>
          </w:p>
        </w:tc>
        <w:tc>
          <w:tcPr>
            <w:tcW w:w="1243" w:type="dxa"/>
            <w:shd w:val="clear" w:color="auto" w:fill="auto"/>
            <w:noWrap/>
            <w:vAlign w:val="center"/>
            <w:hideMark/>
          </w:tcPr>
          <w:p w14:paraId="361ABFF0" w14:textId="77777777" w:rsidR="00082540" w:rsidRPr="009D1752" w:rsidRDefault="00082540" w:rsidP="009D1752">
            <w:pPr>
              <w:jc w:val="right"/>
              <w:rPr>
                <w:color w:val="000000"/>
                <w:kern w:val="2"/>
                <w:sz w:val="21"/>
                <w:szCs w:val="21"/>
                <w:lang w:val="en-US"/>
              </w:rPr>
            </w:pPr>
          </w:p>
        </w:tc>
        <w:tc>
          <w:tcPr>
            <w:tcW w:w="2848" w:type="dxa"/>
            <w:shd w:val="clear" w:color="auto" w:fill="auto"/>
            <w:vAlign w:val="center"/>
            <w:hideMark/>
          </w:tcPr>
          <w:p w14:paraId="3B4223EB" w14:textId="77777777" w:rsidR="00082540" w:rsidRPr="009D1752" w:rsidRDefault="00082540" w:rsidP="00082540">
            <w:pPr>
              <w:rPr>
                <w:rFonts w:eastAsia="华文楷体"/>
                <w:color w:val="000000"/>
                <w:sz w:val="22"/>
                <w:szCs w:val="22"/>
                <w:lang w:val="en-US"/>
              </w:rPr>
            </w:pPr>
            <w:r w:rsidRPr="009D1752">
              <w:rPr>
                <w:rFonts w:eastAsia="华文楷体" w:hint="eastAsia"/>
                <w:color w:val="000000"/>
                <w:sz w:val="22"/>
                <w:szCs w:val="22"/>
                <w:lang w:val="en-US"/>
              </w:rPr>
              <w:t xml:space="preserve">　</w:t>
            </w:r>
          </w:p>
        </w:tc>
      </w:tr>
      <w:tr w:rsidR="00082540" w:rsidRPr="00082540" w14:paraId="4A040F40" w14:textId="77777777" w:rsidTr="009D1752">
        <w:trPr>
          <w:trHeight w:val="416"/>
          <w:jc w:val="center"/>
        </w:trPr>
        <w:tc>
          <w:tcPr>
            <w:tcW w:w="2972" w:type="dxa"/>
            <w:shd w:val="clear" w:color="auto" w:fill="auto"/>
            <w:noWrap/>
            <w:vAlign w:val="center"/>
          </w:tcPr>
          <w:p w14:paraId="144EA2E1" w14:textId="0BD1AE29" w:rsidR="00082540" w:rsidRPr="009D1752" w:rsidRDefault="00082540" w:rsidP="00082540">
            <w:pPr>
              <w:rPr>
                <w:rFonts w:eastAsia="华文楷体"/>
                <w:color w:val="000000"/>
                <w:sz w:val="22"/>
                <w:szCs w:val="22"/>
                <w:lang w:val="en-US"/>
              </w:rPr>
            </w:pPr>
            <w:r w:rsidRPr="009D1752">
              <w:rPr>
                <w:b/>
                <w:bCs/>
                <w:color w:val="000000"/>
                <w:sz w:val="21"/>
                <w:szCs w:val="21"/>
                <w:lang w:val="en-US"/>
              </w:rPr>
              <w:t>4. Board &amp; Committee Expense</w:t>
            </w:r>
            <w:r w:rsidR="00705C56">
              <w:rPr>
                <w:b/>
                <w:bCs/>
                <w:color w:val="000000"/>
                <w:sz w:val="21"/>
                <w:szCs w:val="21"/>
                <w:lang w:val="en-US"/>
              </w:rPr>
              <w:t>s</w:t>
            </w:r>
          </w:p>
        </w:tc>
        <w:tc>
          <w:tcPr>
            <w:tcW w:w="1134" w:type="dxa"/>
            <w:shd w:val="clear" w:color="auto" w:fill="auto"/>
            <w:noWrap/>
            <w:vAlign w:val="center"/>
          </w:tcPr>
          <w:p w14:paraId="27CB5C4B" w14:textId="5EE5424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360</w:t>
            </w:r>
          </w:p>
        </w:tc>
        <w:tc>
          <w:tcPr>
            <w:tcW w:w="1134" w:type="dxa"/>
            <w:shd w:val="clear" w:color="auto" w:fill="auto"/>
            <w:noWrap/>
            <w:vAlign w:val="center"/>
          </w:tcPr>
          <w:p w14:paraId="3FA078D2" w14:textId="2324434B"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800</w:t>
            </w:r>
          </w:p>
        </w:tc>
        <w:tc>
          <w:tcPr>
            <w:tcW w:w="1243" w:type="dxa"/>
            <w:shd w:val="clear" w:color="auto" w:fill="auto"/>
            <w:noWrap/>
            <w:vAlign w:val="center"/>
          </w:tcPr>
          <w:p w14:paraId="0A47E663" w14:textId="77777777" w:rsidR="00082540" w:rsidRPr="009D1752" w:rsidRDefault="00082540" w:rsidP="009D1752">
            <w:pPr>
              <w:ind w:firstLineChars="150" w:firstLine="315"/>
              <w:jc w:val="right"/>
              <w:rPr>
                <w:color w:val="000000"/>
                <w:kern w:val="2"/>
                <w:sz w:val="21"/>
                <w:szCs w:val="21"/>
                <w:lang w:val="en-US"/>
              </w:rPr>
            </w:pPr>
            <w:r w:rsidRPr="009D1752">
              <w:rPr>
                <w:color w:val="000000"/>
                <w:kern w:val="2"/>
                <w:sz w:val="21"/>
                <w:szCs w:val="21"/>
                <w:lang w:val="en-US"/>
              </w:rPr>
              <w:t>-440</w:t>
            </w:r>
          </w:p>
        </w:tc>
        <w:tc>
          <w:tcPr>
            <w:tcW w:w="2848" w:type="dxa"/>
            <w:shd w:val="clear" w:color="auto" w:fill="auto"/>
            <w:vAlign w:val="center"/>
          </w:tcPr>
          <w:p w14:paraId="035E0C21" w14:textId="77777777" w:rsidR="00082540" w:rsidRPr="009D1752" w:rsidRDefault="00082540" w:rsidP="00082540">
            <w:pPr>
              <w:rPr>
                <w:rFonts w:eastAsia="华文楷体"/>
                <w:color w:val="000000"/>
                <w:sz w:val="22"/>
                <w:szCs w:val="22"/>
                <w:lang w:val="en-US"/>
              </w:rPr>
            </w:pPr>
            <w:r w:rsidRPr="009D1752">
              <w:rPr>
                <w:rFonts w:eastAsia="华文楷体" w:hint="eastAsia"/>
                <w:color w:val="000000"/>
                <w:sz w:val="22"/>
                <w:szCs w:val="22"/>
                <w:lang w:val="en-US"/>
              </w:rPr>
              <w:t xml:space="preserve">　</w:t>
            </w:r>
          </w:p>
        </w:tc>
      </w:tr>
      <w:tr w:rsidR="00082540" w:rsidRPr="00082540" w14:paraId="3524F94A" w14:textId="77777777" w:rsidTr="009D1752">
        <w:trPr>
          <w:trHeight w:val="416"/>
          <w:jc w:val="center"/>
        </w:trPr>
        <w:tc>
          <w:tcPr>
            <w:tcW w:w="2972" w:type="dxa"/>
            <w:shd w:val="clear" w:color="auto" w:fill="auto"/>
            <w:noWrap/>
            <w:vAlign w:val="center"/>
          </w:tcPr>
          <w:p w14:paraId="18C9EC1C" w14:textId="5BA2B39E" w:rsidR="00082540" w:rsidRPr="009D1752" w:rsidRDefault="00082540" w:rsidP="00082540">
            <w:pPr>
              <w:rPr>
                <w:rFonts w:eastAsia="华文楷体"/>
                <w:b/>
                <w:bCs/>
                <w:color w:val="000000"/>
                <w:sz w:val="22"/>
                <w:szCs w:val="22"/>
                <w:lang w:val="en-US"/>
              </w:rPr>
            </w:pPr>
            <w:r w:rsidRPr="009D1752">
              <w:rPr>
                <w:b/>
                <w:bCs/>
                <w:color w:val="000000"/>
                <w:sz w:val="21"/>
                <w:szCs w:val="21"/>
                <w:lang w:val="en-US"/>
              </w:rPr>
              <w:t>5. Software Expense</w:t>
            </w:r>
            <w:r w:rsidR="00705C56">
              <w:rPr>
                <w:b/>
                <w:bCs/>
                <w:color w:val="000000"/>
                <w:sz w:val="21"/>
                <w:szCs w:val="21"/>
                <w:lang w:val="en-US"/>
              </w:rPr>
              <w:t>s</w:t>
            </w:r>
          </w:p>
        </w:tc>
        <w:tc>
          <w:tcPr>
            <w:tcW w:w="1134" w:type="dxa"/>
            <w:shd w:val="clear" w:color="auto" w:fill="auto"/>
            <w:noWrap/>
            <w:vAlign w:val="center"/>
          </w:tcPr>
          <w:p w14:paraId="1573AA31" w14:textId="1BA9C56D"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1,200</w:t>
            </w:r>
          </w:p>
        </w:tc>
        <w:tc>
          <w:tcPr>
            <w:tcW w:w="1134" w:type="dxa"/>
            <w:shd w:val="clear" w:color="auto" w:fill="auto"/>
            <w:noWrap/>
            <w:vAlign w:val="center"/>
          </w:tcPr>
          <w:p w14:paraId="1154E03D"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1,200</w:t>
            </w:r>
          </w:p>
        </w:tc>
        <w:tc>
          <w:tcPr>
            <w:tcW w:w="1243" w:type="dxa"/>
            <w:shd w:val="clear" w:color="auto" w:fill="auto"/>
            <w:noWrap/>
            <w:vAlign w:val="center"/>
          </w:tcPr>
          <w:p w14:paraId="002B2DC0" w14:textId="77777777" w:rsidR="00082540" w:rsidRPr="009D1752" w:rsidRDefault="00082540" w:rsidP="009D1752">
            <w:pPr>
              <w:jc w:val="right"/>
              <w:rPr>
                <w:color w:val="000000"/>
                <w:kern w:val="2"/>
                <w:sz w:val="21"/>
                <w:szCs w:val="21"/>
                <w:lang w:val="en-US"/>
              </w:rPr>
            </w:pPr>
          </w:p>
        </w:tc>
        <w:tc>
          <w:tcPr>
            <w:tcW w:w="2848" w:type="dxa"/>
            <w:shd w:val="clear" w:color="auto" w:fill="auto"/>
            <w:vAlign w:val="center"/>
          </w:tcPr>
          <w:p w14:paraId="1386CAF6" w14:textId="77777777" w:rsidR="00082540" w:rsidRPr="009D1752" w:rsidRDefault="00082540" w:rsidP="00082540">
            <w:pPr>
              <w:rPr>
                <w:rFonts w:eastAsia="华文楷体"/>
                <w:color w:val="000000"/>
                <w:sz w:val="22"/>
                <w:szCs w:val="22"/>
                <w:lang w:val="en-US"/>
              </w:rPr>
            </w:pPr>
          </w:p>
        </w:tc>
      </w:tr>
      <w:tr w:rsidR="00082540" w:rsidRPr="00082540" w14:paraId="412F9FC6" w14:textId="77777777" w:rsidTr="009D1752">
        <w:trPr>
          <w:trHeight w:val="660"/>
          <w:jc w:val="center"/>
        </w:trPr>
        <w:tc>
          <w:tcPr>
            <w:tcW w:w="2972" w:type="dxa"/>
            <w:shd w:val="clear" w:color="auto" w:fill="auto"/>
            <w:noWrap/>
            <w:vAlign w:val="center"/>
            <w:hideMark/>
          </w:tcPr>
          <w:p w14:paraId="667C5D62" w14:textId="15F7B9E1" w:rsidR="00082540" w:rsidRPr="009D1752" w:rsidRDefault="00082540" w:rsidP="00082540">
            <w:pPr>
              <w:rPr>
                <w:rFonts w:eastAsia="华文楷体"/>
                <w:color w:val="000000"/>
                <w:sz w:val="22"/>
                <w:szCs w:val="22"/>
                <w:lang w:val="en-US"/>
              </w:rPr>
            </w:pPr>
            <w:r w:rsidRPr="009D1752">
              <w:rPr>
                <w:b/>
                <w:bCs/>
                <w:color w:val="000000"/>
                <w:sz w:val="21"/>
                <w:szCs w:val="21"/>
                <w:lang w:val="en-US"/>
              </w:rPr>
              <w:t>6. Project Development Expense</w:t>
            </w:r>
            <w:r w:rsidR="00705C56">
              <w:rPr>
                <w:b/>
                <w:bCs/>
                <w:color w:val="000000"/>
                <w:sz w:val="21"/>
                <w:szCs w:val="21"/>
                <w:lang w:val="en-US"/>
              </w:rPr>
              <w:t>s</w:t>
            </w:r>
          </w:p>
        </w:tc>
        <w:tc>
          <w:tcPr>
            <w:tcW w:w="1134" w:type="dxa"/>
            <w:shd w:val="clear" w:color="auto" w:fill="auto"/>
            <w:noWrap/>
            <w:vAlign w:val="center"/>
            <w:hideMark/>
          </w:tcPr>
          <w:p w14:paraId="4C177249"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4,970</w:t>
            </w:r>
          </w:p>
        </w:tc>
        <w:tc>
          <w:tcPr>
            <w:tcW w:w="1134" w:type="dxa"/>
            <w:shd w:val="clear" w:color="auto" w:fill="auto"/>
            <w:noWrap/>
            <w:vAlign w:val="center"/>
            <w:hideMark/>
          </w:tcPr>
          <w:p w14:paraId="3A8833C3"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8,000</w:t>
            </w:r>
          </w:p>
        </w:tc>
        <w:tc>
          <w:tcPr>
            <w:tcW w:w="1243" w:type="dxa"/>
            <w:shd w:val="clear" w:color="auto" w:fill="auto"/>
            <w:noWrap/>
            <w:vAlign w:val="center"/>
            <w:hideMark/>
          </w:tcPr>
          <w:p w14:paraId="16368022"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-3,030</w:t>
            </w:r>
          </w:p>
        </w:tc>
        <w:tc>
          <w:tcPr>
            <w:tcW w:w="2848" w:type="dxa"/>
            <w:shd w:val="clear" w:color="auto" w:fill="auto"/>
            <w:vAlign w:val="center"/>
            <w:hideMark/>
          </w:tcPr>
          <w:p w14:paraId="43DE45FC" w14:textId="0ACDA7BD" w:rsidR="00082540" w:rsidRPr="009D1752" w:rsidRDefault="00C34259" w:rsidP="00682D6B">
            <w:pPr>
              <w:rPr>
                <w:rFonts w:eastAsia="华文楷体"/>
                <w:color w:val="000000"/>
                <w:sz w:val="22"/>
                <w:szCs w:val="22"/>
                <w:lang w:val="en-US"/>
              </w:rPr>
            </w:pPr>
            <w:r w:rsidRPr="00C34259">
              <w:rPr>
                <w:rFonts w:eastAsia="华文楷体"/>
                <w:color w:val="000000"/>
                <w:sz w:val="22"/>
                <w:szCs w:val="22"/>
                <w:lang w:val="en-US"/>
              </w:rPr>
              <w:t xml:space="preserve">reduced </w:t>
            </w:r>
            <w:r>
              <w:rPr>
                <w:rFonts w:eastAsia="华文楷体"/>
                <w:color w:val="000000"/>
                <w:sz w:val="22"/>
                <w:szCs w:val="22"/>
                <w:lang w:val="en-US"/>
              </w:rPr>
              <w:t xml:space="preserve">business development </w:t>
            </w:r>
            <w:r w:rsidRPr="00C34259">
              <w:rPr>
                <w:rFonts w:eastAsia="华文楷体"/>
                <w:color w:val="000000"/>
                <w:sz w:val="22"/>
                <w:szCs w:val="22"/>
                <w:lang w:val="en-US"/>
              </w:rPr>
              <w:t>cost</w:t>
            </w:r>
            <w:r>
              <w:rPr>
                <w:rFonts w:eastAsia="华文楷体"/>
                <w:color w:val="000000"/>
                <w:sz w:val="22"/>
                <w:szCs w:val="22"/>
                <w:lang w:val="en-US"/>
              </w:rPr>
              <w:t>s</w:t>
            </w:r>
            <w:r w:rsidRPr="00C34259">
              <w:rPr>
                <w:rFonts w:eastAsia="华文楷体"/>
                <w:color w:val="000000"/>
                <w:sz w:val="22"/>
                <w:szCs w:val="22"/>
                <w:lang w:val="en-US"/>
              </w:rPr>
              <w:t xml:space="preserve"> </w:t>
            </w:r>
            <w:r>
              <w:rPr>
                <w:rFonts w:eastAsia="华文楷体"/>
                <w:color w:val="000000"/>
                <w:sz w:val="22"/>
                <w:szCs w:val="22"/>
                <w:lang w:val="en-US"/>
              </w:rPr>
              <w:t>due to less</w:t>
            </w:r>
            <w:r w:rsidR="00682D6B">
              <w:rPr>
                <w:rFonts w:eastAsia="华文楷体"/>
                <w:color w:val="000000"/>
                <w:sz w:val="22"/>
                <w:szCs w:val="22"/>
                <w:lang w:val="en-US"/>
              </w:rPr>
              <w:t xml:space="preserve"> market activities and less cross-border</w:t>
            </w:r>
            <w:r>
              <w:rPr>
                <w:rFonts w:eastAsia="华文楷体"/>
                <w:color w:val="000000"/>
                <w:sz w:val="22"/>
                <w:szCs w:val="22"/>
                <w:lang w:val="en-US"/>
              </w:rPr>
              <w:t xml:space="preserve"> </w:t>
            </w:r>
            <w:r w:rsidR="00682D6B">
              <w:rPr>
                <w:rFonts w:eastAsia="华文楷体"/>
                <w:color w:val="000000"/>
                <w:sz w:val="22"/>
                <w:szCs w:val="22"/>
                <w:lang w:val="en-US"/>
              </w:rPr>
              <w:t>project sourcing and execution expenses</w:t>
            </w:r>
          </w:p>
        </w:tc>
      </w:tr>
      <w:tr w:rsidR="00082540" w:rsidRPr="00082540" w14:paraId="49395086" w14:textId="77777777" w:rsidTr="009D1752">
        <w:trPr>
          <w:trHeight w:val="660"/>
          <w:jc w:val="center"/>
        </w:trPr>
        <w:tc>
          <w:tcPr>
            <w:tcW w:w="2972" w:type="dxa"/>
            <w:shd w:val="clear" w:color="auto" w:fill="auto"/>
            <w:noWrap/>
            <w:vAlign w:val="center"/>
          </w:tcPr>
          <w:p w14:paraId="5B1156DB" w14:textId="0EA8AC0B" w:rsidR="00082540" w:rsidRPr="009D1752" w:rsidRDefault="00082540" w:rsidP="00082540">
            <w:pPr>
              <w:jc w:val="both"/>
              <w:rPr>
                <w:rFonts w:eastAsia="华文楷体"/>
                <w:b/>
                <w:bCs/>
                <w:color w:val="000000"/>
                <w:sz w:val="22"/>
                <w:szCs w:val="22"/>
                <w:lang w:val="en-US"/>
              </w:rPr>
            </w:pPr>
            <w:r w:rsidRPr="009D1752">
              <w:rPr>
                <w:b/>
                <w:bCs/>
                <w:color w:val="000000"/>
                <w:sz w:val="21"/>
                <w:szCs w:val="21"/>
                <w:lang w:val="en-US"/>
              </w:rPr>
              <w:t xml:space="preserve">7. </w:t>
            </w:r>
            <w:r w:rsidR="0055317D" w:rsidRPr="0055317D">
              <w:rPr>
                <w:b/>
                <w:bCs/>
                <w:color w:val="000000"/>
                <w:sz w:val="21"/>
                <w:szCs w:val="21"/>
                <w:lang w:val="en-US"/>
              </w:rPr>
              <w:t>Ventu</w:t>
            </w:r>
            <w:r w:rsidR="0055317D" w:rsidRPr="000F20BD">
              <w:rPr>
                <w:b/>
                <w:bCs/>
                <w:color w:val="000000"/>
                <w:sz w:val="21"/>
                <w:szCs w:val="21"/>
                <w:lang w:val="en-US"/>
              </w:rPr>
              <w:t>r</w:t>
            </w:r>
            <w:r w:rsidR="0055317D" w:rsidRPr="00946024">
              <w:rPr>
                <w:b/>
                <w:bCs/>
                <w:color w:val="000000"/>
                <w:sz w:val="21"/>
                <w:szCs w:val="21"/>
                <w:lang w:val="en-US"/>
              </w:rPr>
              <w:t xml:space="preserve">e </w:t>
            </w:r>
            <w:r w:rsidRPr="00946024">
              <w:rPr>
                <w:b/>
                <w:bCs/>
                <w:color w:val="000000"/>
                <w:sz w:val="21"/>
                <w:szCs w:val="21"/>
                <w:lang w:val="en-US"/>
              </w:rPr>
              <w:t>Partner Expense</w:t>
            </w:r>
          </w:p>
          <w:p w14:paraId="433DE6ED" w14:textId="77777777" w:rsidR="00082540" w:rsidRPr="009D1752" w:rsidRDefault="00082540" w:rsidP="00082540">
            <w:pPr>
              <w:rPr>
                <w:rFonts w:eastAsia="华文楷体"/>
                <w:b/>
                <w:bCs/>
                <w:color w:val="000000"/>
                <w:sz w:val="22"/>
                <w:szCs w:val="22"/>
                <w:lang w:val="en-US"/>
              </w:rPr>
            </w:pPr>
          </w:p>
        </w:tc>
        <w:tc>
          <w:tcPr>
            <w:tcW w:w="1134" w:type="dxa"/>
            <w:shd w:val="clear" w:color="auto" w:fill="auto"/>
            <w:noWrap/>
            <w:vAlign w:val="center"/>
          </w:tcPr>
          <w:p w14:paraId="38D0E3FF" w14:textId="71A0690C"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360</w:t>
            </w:r>
          </w:p>
        </w:tc>
        <w:tc>
          <w:tcPr>
            <w:tcW w:w="1134" w:type="dxa"/>
            <w:shd w:val="clear" w:color="auto" w:fill="auto"/>
            <w:noWrap/>
            <w:vAlign w:val="center"/>
          </w:tcPr>
          <w:p w14:paraId="40C77591"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1,200</w:t>
            </w:r>
          </w:p>
        </w:tc>
        <w:tc>
          <w:tcPr>
            <w:tcW w:w="1243" w:type="dxa"/>
            <w:shd w:val="clear" w:color="auto" w:fill="auto"/>
            <w:noWrap/>
            <w:vAlign w:val="center"/>
          </w:tcPr>
          <w:p w14:paraId="3EF623E7"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-840</w:t>
            </w:r>
          </w:p>
        </w:tc>
        <w:tc>
          <w:tcPr>
            <w:tcW w:w="2848" w:type="dxa"/>
            <w:shd w:val="clear" w:color="auto" w:fill="auto"/>
            <w:vAlign w:val="center"/>
          </w:tcPr>
          <w:p w14:paraId="03CC21CC" w14:textId="77777777" w:rsidR="00082540" w:rsidRPr="009D1752" w:rsidRDefault="00082540" w:rsidP="00082540">
            <w:pPr>
              <w:rPr>
                <w:rFonts w:eastAsia="华文楷体"/>
                <w:color w:val="000000"/>
                <w:sz w:val="22"/>
                <w:szCs w:val="22"/>
                <w:lang w:val="en-US"/>
              </w:rPr>
            </w:pPr>
          </w:p>
        </w:tc>
      </w:tr>
      <w:tr w:rsidR="00082540" w:rsidRPr="009E7C96" w14:paraId="61929168" w14:textId="77777777" w:rsidTr="009D1752">
        <w:trPr>
          <w:trHeight w:val="660"/>
          <w:jc w:val="center"/>
        </w:trPr>
        <w:tc>
          <w:tcPr>
            <w:tcW w:w="2972" w:type="dxa"/>
            <w:shd w:val="clear" w:color="auto" w:fill="auto"/>
            <w:noWrap/>
            <w:vAlign w:val="center"/>
          </w:tcPr>
          <w:p w14:paraId="36D2EE1C" w14:textId="707757C9" w:rsidR="00082540" w:rsidRPr="009D1752" w:rsidRDefault="00082540" w:rsidP="00082540">
            <w:pPr>
              <w:rPr>
                <w:rFonts w:eastAsia="华文楷体"/>
                <w:b/>
                <w:bCs/>
                <w:color w:val="000000"/>
                <w:sz w:val="22"/>
                <w:szCs w:val="22"/>
                <w:lang w:val="en-US"/>
              </w:rPr>
            </w:pPr>
            <w:r w:rsidRPr="009D1752">
              <w:rPr>
                <w:b/>
                <w:bCs/>
                <w:color w:val="000000"/>
                <w:sz w:val="21"/>
                <w:szCs w:val="21"/>
                <w:lang w:val="en-US"/>
              </w:rPr>
              <w:t xml:space="preserve">8. </w:t>
            </w:r>
            <w:r w:rsidR="00102190">
              <w:rPr>
                <w:b/>
                <w:bCs/>
                <w:color w:val="000000"/>
                <w:sz w:val="21"/>
                <w:szCs w:val="21"/>
                <w:lang w:val="en-US"/>
              </w:rPr>
              <w:t>Project Hanson</w:t>
            </w:r>
            <w:r w:rsidR="00705C56">
              <w:rPr>
                <w:b/>
                <w:bCs/>
                <w:color w:val="000000"/>
                <w:sz w:val="21"/>
                <w:szCs w:val="21"/>
                <w:lang w:val="en-US"/>
              </w:rPr>
              <w:t xml:space="preserve"> Interest Expenses</w:t>
            </w:r>
            <w:r w:rsidR="00705C56" w:rsidRPr="009D1752">
              <w:rPr>
                <w:b/>
                <w:bCs/>
                <w:color w:val="000000"/>
                <w:sz w:val="21"/>
                <w:szCs w:val="21"/>
                <w:lang w:val="en-US"/>
              </w:rPr>
              <w:t xml:space="preserve"> </w:t>
            </w:r>
            <w:r w:rsidRPr="009D1752">
              <w:rPr>
                <w:b/>
                <w:bCs/>
                <w:color w:val="000000"/>
                <w:sz w:val="21"/>
                <w:szCs w:val="21"/>
                <w:lang w:val="en-US"/>
              </w:rPr>
              <w:t xml:space="preserve">&amp; </w:t>
            </w:r>
            <w:r w:rsidR="00705C56">
              <w:rPr>
                <w:b/>
                <w:bCs/>
                <w:color w:val="000000"/>
                <w:sz w:val="21"/>
                <w:szCs w:val="21"/>
                <w:lang w:val="en-US"/>
              </w:rPr>
              <w:t>Fundraising and Placement</w:t>
            </w:r>
            <w:r w:rsidR="00705C56" w:rsidRPr="009D1752">
              <w:rPr>
                <w:b/>
                <w:bCs/>
                <w:color w:val="000000"/>
                <w:sz w:val="21"/>
                <w:szCs w:val="21"/>
                <w:lang w:val="en-US"/>
              </w:rPr>
              <w:t xml:space="preserve"> </w:t>
            </w:r>
            <w:r w:rsidRPr="009D1752">
              <w:rPr>
                <w:b/>
                <w:bCs/>
                <w:color w:val="000000"/>
                <w:sz w:val="21"/>
                <w:szCs w:val="21"/>
                <w:lang w:val="en-US"/>
              </w:rPr>
              <w:t>Expense</w:t>
            </w:r>
            <w:r w:rsidR="00705C56">
              <w:rPr>
                <w:b/>
                <w:bCs/>
                <w:color w:val="000000"/>
                <w:sz w:val="21"/>
                <w:szCs w:val="21"/>
                <w:lang w:val="en-US"/>
              </w:rPr>
              <w:t>s</w:t>
            </w:r>
          </w:p>
          <w:p w14:paraId="5505824F" w14:textId="77777777" w:rsidR="00082540" w:rsidRPr="009D1752" w:rsidRDefault="00082540" w:rsidP="00082540">
            <w:pPr>
              <w:rPr>
                <w:rFonts w:eastAsia="华文楷体"/>
                <w:color w:val="000000"/>
                <w:sz w:val="22"/>
                <w:szCs w:val="22"/>
                <w:lang w:val="en-US"/>
              </w:rPr>
            </w:pPr>
          </w:p>
        </w:tc>
        <w:tc>
          <w:tcPr>
            <w:tcW w:w="1134" w:type="dxa"/>
            <w:shd w:val="clear" w:color="auto" w:fill="auto"/>
            <w:noWrap/>
            <w:vAlign w:val="center"/>
          </w:tcPr>
          <w:p w14:paraId="4F64FE3E"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lastRenderedPageBreak/>
              <w:t>22,790</w:t>
            </w:r>
          </w:p>
        </w:tc>
        <w:tc>
          <w:tcPr>
            <w:tcW w:w="1134" w:type="dxa"/>
            <w:shd w:val="clear" w:color="auto" w:fill="auto"/>
            <w:noWrap/>
            <w:vAlign w:val="center"/>
          </w:tcPr>
          <w:p w14:paraId="707A7FCA"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28,360</w:t>
            </w:r>
          </w:p>
        </w:tc>
        <w:tc>
          <w:tcPr>
            <w:tcW w:w="1243" w:type="dxa"/>
            <w:shd w:val="clear" w:color="auto" w:fill="auto"/>
            <w:noWrap/>
            <w:vAlign w:val="center"/>
          </w:tcPr>
          <w:p w14:paraId="26855E79"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-5,570</w:t>
            </w:r>
          </w:p>
        </w:tc>
        <w:tc>
          <w:tcPr>
            <w:tcW w:w="2848" w:type="dxa"/>
            <w:shd w:val="clear" w:color="auto" w:fill="auto"/>
            <w:vAlign w:val="center"/>
          </w:tcPr>
          <w:p w14:paraId="6586059F" w14:textId="55777441" w:rsidR="00082540" w:rsidRPr="009D1752" w:rsidRDefault="00C34259" w:rsidP="00102190">
            <w:pPr>
              <w:rPr>
                <w:rFonts w:eastAsia="华文楷体"/>
                <w:color w:val="000000"/>
                <w:sz w:val="22"/>
                <w:szCs w:val="22"/>
                <w:lang w:val="en-US"/>
              </w:rPr>
            </w:pPr>
            <w:r>
              <w:rPr>
                <w:rFonts w:eastAsia="华文楷体" w:hint="eastAsia"/>
                <w:color w:val="000000"/>
                <w:sz w:val="22"/>
                <w:szCs w:val="22"/>
                <w:lang w:val="en-US"/>
              </w:rPr>
              <w:t>M</w:t>
            </w:r>
            <w:r>
              <w:rPr>
                <w:rFonts w:eastAsia="华文楷体"/>
                <w:color w:val="000000"/>
                <w:sz w:val="22"/>
                <w:szCs w:val="22"/>
                <w:lang w:val="en-US"/>
              </w:rPr>
              <w:t>ainly includ</w:t>
            </w:r>
            <w:r w:rsidR="00682D6B">
              <w:rPr>
                <w:rFonts w:eastAsia="华文楷体"/>
                <w:color w:val="000000"/>
                <w:sz w:val="22"/>
                <w:szCs w:val="22"/>
                <w:lang w:val="en-US"/>
              </w:rPr>
              <w:t>es</w:t>
            </w:r>
            <w:r>
              <w:rPr>
                <w:rFonts w:eastAsia="华文楷体"/>
                <w:color w:val="000000"/>
                <w:sz w:val="22"/>
                <w:szCs w:val="22"/>
                <w:lang w:val="en-US"/>
              </w:rPr>
              <w:t>:</w:t>
            </w:r>
            <w:r w:rsidR="009E7C96">
              <w:rPr>
                <w:rFonts w:eastAsia="华文楷体"/>
                <w:color w:val="000000"/>
                <w:sz w:val="22"/>
                <w:szCs w:val="22"/>
                <w:lang w:val="en-US"/>
              </w:rPr>
              <w:t xml:space="preserve"> </w:t>
            </w:r>
            <w:r w:rsidR="0055317D">
              <w:rPr>
                <w:rFonts w:eastAsia="华文楷体"/>
                <w:color w:val="000000"/>
                <w:sz w:val="22"/>
                <w:szCs w:val="22"/>
                <w:lang w:val="en-US"/>
              </w:rPr>
              <w:t>(</w:t>
            </w:r>
            <w:proofErr w:type="spellStart"/>
            <w:r>
              <w:rPr>
                <w:rFonts w:eastAsia="华文楷体"/>
                <w:color w:val="000000"/>
                <w:sz w:val="22"/>
                <w:szCs w:val="22"/>
                <w:lang w:val="en-US"/>
              </w:rPr>
              <w:t>i</w:t>
            </w:r>
            <w:proofErr w:type="spellEnd"/>
            <w:r>
              <w:rPr>
                <w:rFonts w:eastAsia="华文楷体"/>
                <w:color w:val="000000"/>
                <w:sz w:val="22"/>
                <w:szCs w:val="22"/>
                <w:lang w:val="en-US"/>
              </w:rPr>
              <w:t xml:space="preserve">) </w:t>
            </w:r>
            <w:r w:rsidRPr="00C34259">
              <w:rPr>
                <w:rFonts w:eastAsia="华文楷体"/>
                <w:color w:val="000000"/>
                <w:sz w:val="22"/>
                <w:szCs w:val="22"/>
                <w:lang w:val="en-US"/>
              </w:rPr>
              <w:t xml:space="preserve">RMB 19.80 million of interest expense </w:t>
            </w:r>
            <w:r w:rsidR="00682D6B">
              <w:rPr>
                <w:rFonts w:eastAsia="华文楷体"/>
                <w:color w:val="000000"/>
                <w:sz w:val="22"/>
                <w:szCs w:val="22"/>
                <w:lang w:val="en-US"/>
              </w:rPr>
              <w:t xml:space="preserve">payable to Bank of </w:t>
            </w:r>
            <w:r w:rsidR="00682D6B">
              <w:rPr>
                <w:rFonts w:eastAsia="华文楷体"/>
                <w:color w:val="000000"/>
                <w:sz w:val="22"/>
                <w:szCs w:val="22"/>
                <w:lang w:val="en-US"/>
              </w:rPr>
              <w:lastRenderedPageBreak/>
              <w:t>China under Project</w:t>
            </w:r>
            <w:r w:rsidR="00682D6B" w:rsidRPr="00C34259">
              <w:rPr>
                <w:rFonts w:eastAsia="华文楷体"/>
                <w:color w:val="000000"/>
                <w:sz w:val="22"/>
                <w:szCs w:val="22"/>
                <w:lang w:val="en-US"/>
              </w:rPr>
              <w:t xml:space="preserve"> </w:t>
            </w:r>
            <w:r w:rsidR="00102190">
              <w:rPr>
                <w:rFonts w:eastAsia="华文楷体"/>
                <w:color w:val="000000"/>
                <w:sz w:val="22"/>
                <w:szCs w:val="22"/>
                <w:lang w:val="en-US"/>
              </w:rPr>
              <w:t>Hanson</w:t>
            </w:r>
            <w:r>
              <w:rPr>
                <w:rFonts w:eastAsia="华文楷体"/>
                <w:color w:val="000000"/>
                <w:sz w:val="22"/>
                <w:szCs w:val="22"/>
                <w:lang w:val="en-US"/>
              </w:rPr>
              <w:t xml:space="preserve">, </w:t>
            </w:r>
            <w:r w:rsidRPr="00C34259">
              <w:rPr>
                <w:rFonts w:eastAsia="华文楷体"/>
                <w:color w:val="000000"/>
                <w:sz w:val="22"/>
                <w:szCs w:val="22"/>
                <w:lang w:val="en-US"/>
              </w:rPr>
              <w:t>(ii)</w:t>
            </w:r>
            <w:r w:rsidR="009E7C96">
              <w:rPr>
                <w:color w:val="000000"/>
                <w:lang w:val="en-US"/>
              </w:rPr>
              <w:t xml:space="preserve"> </w:t>
            </w:r>
            <w:r w:rsidRPr="00C34259">
              <w:rPr>
                <w:rFonts w:eastAsia="华文楷体"/>
                <w:color w:val="000000"/>
                <w:sz w:val="22"/>
                <w:szCs w:val="22"/>
                <w:lang w:val="en-US"/>
              </w:rPr>
              <w:t xml:space="preserve">RMB 990,000 of BOC Standby Letter fee for </w:t>
            </w:r>
            <w:r w:rsidR="00682D6B">
              <w:rPr>
                <w:rFonts w:eastAsia="华文楷体"/>
                <w:color w:val="000000"/>
                <w:sz w:val="22"/>
                <w:szCs w:val="22"/>
                <w:lang w:val="en-US"/>
              </w:rPr>
              <w:t xml:space="preserve">Project </w:t>
            </w:r>
            <w:proofErr w:type="spellStart"/>
            <w:r w:rsidRPr="00C34259">
              <w:rPr>
                <w:rFonts w:eastAsia="华文楷体"/>
                <w:color w:val="000000"/>
                <w:sz w:val="22"/>
                <w:szCs w:val="22"/>
                <w:lang w:val="en-US"/>
              </w:rPr>
              <w:t>Yancoal</w:t>
            </w:r>
            <w:proofErr w:type="spellEnd"/>
            <w:r w:rsidR="009E7C96">
              <w:rPr>
                <w:rFonts w:eastAsia="华文楷体"/>
                <w:color w:val="000000"/>
                <w:sz w:val="22"/>
                <w:szCs w:val="22"/>
                <w:lang w:val="en-US"/>
              </w:rPr>
              <w:t xml:space="preserve">, (iii) </w:t>
            </w:r>
            <w:r w:rsidRPr="00C34259">
              <w:rPr>
                <w:rFonts w:eastAsia="华文楷体"/>
                <w:color w:val="000000"/>
                <w:sz w:val="22"/>
                <w:szCs w:val="22"/>
                <w:lang w:val="en-US"/>
              </w:rPr>
              <w:t>RMB 2 million of Co-GP management fee</w:t>
            </w:r>
            <w:r w:rsidR="00682D6B">
              <w:rPr>
                <w:rFonts w:eastAsia="华文楷体"/>
                <w:color w:val="000000"/>
                <w:sz w:val="22"/>
                <w:szCs w:val="22"/>
                <w:lang w:val="en-US"/>
              </w:rPr>
              <w:t>s</w:t>
            </w:r>
            <w:r w:rsidRPr="00C34259">
              <w:rPr>
                <w:rFonts w:eastAsia="华文楷体"/>
                <w:color w:val="000000"/>
                <w:sz w:val="22"/>
                <w:szCs w:val="22"/>
                <w:lang w:val="en-US"/>
              </w:rPr>
              <w:t xml:space="preserve"> </w:t>
            </w:r>
            <w:r w:rsidR="00682D6B">
              <w:rPr>
                <w:rFonts w:eastAsia="华文楷体"/>
                <w:color w:val="000000"/>
                <w:sz w:val="22"/>
                <w:szCs w:val="22"/>
                <w:lang w:val="en-US"/>
              </w:rPr>
              <w:t>payable to</w:t>
            </w:r>
            <w:r w:rsidRPr="00C34259">
              <w:rPr>
                <w:rFonts w:eastAsia="华文楷体"/>
                <w:color w:val="000000"/>
                <w:sz w:val="22"/>
                <w:szCs w:val="22"/>
                <w:lang w:val="en-US"/>
              </w:rPr>
              <w:t xml:space="preserve"> CATL under Project Sinopec (</w:t>
            </w:r>
            <w:r w:rsidR="009E7C96">
              <w:rPr>
                <w:rFonts w:eastAsia="华文楷体"/>
                <w:color w:val="000000"/>
                <w:sz w:val="22"/>
                <w:szCs w:val="22"/>
                <w:lang w:val="en-US"/>
              </w:rPr>
              <w:t xml:space="preserve">the remaining </w:t>
            </w:r>
            <w:r w:rsidRPr="00C34259">
              <w:rPr>
                <w:rFonts w:eastAsia="华文楷体"/>
                <w:color w:val="000000"/>
                <w:sz w:val="22"/>
                <w:szCs w:val="22"/>
                <w:lang w:val="en-US"/>
              </w:rPr>
              <w:t>expected to be paid in 2019)</w:t>
            </w:r>
          </w:p>
        </w:tc>
      </w:tr>
      <w:tr w:rsidR="00082540" w:rsidRPr="00082540" w14:paraId="655EABCB" w14:textId="77777777" w:rsidTr="009D1752">
        <w:trPr>
          <w:trHeight w:val="330"/>
          <w:jc w:val="center"/>
        </w:trPr>
        <w:tc>
          <w:tcPr>
            <w:tcW w:w="2972" w:type="dxa"/>
            <w:shd w:val="clear" w:color="auto" w:fill="auto"/>
            <w:noWrap/>
            <w:vAlign w:val="center"/>
            <w:hideMark/>
          </w:tcPr>
          <w:p w14:paraId="4EE12B28" w14:textId="1A17968F" w:rsidR="00082540" w:rsidRPr="009D1752" w:rsidRDefault="00082540" w:rsidP="00082540">
            <w:pPr>
              <w:rPr>
                <w:rFonts w:eastAsia="华文楷体"/>
                <w:color w:val="000000"/>
                <w:sz w:val="22"/>
                <w:szCs w:val="22"/>
                <w:lang w:val="en-US"/>
              </w:rPr>
            </w:pPr>
            <w:r w:rsidRPr="009D1752">
              <w:rPr>
                <w:b/>
                <w:bCs/>
                <w:color w:val="000000"/>
                <w:sz w:val="21"/>
                <w:szCs w:val="21"/>
                <w:lang w:val="en-US"/>
              </w:rPr>
              <w:lastRenderedPageBreak/>
              <w:t xml:space="preserve">9. </w:t>
            </w:r>
            <w:r>
              <w:rPr>
                <w:b/>
                <w:bCs/>
                <w:color w:val="000000"/>
                <w:sz w:val="21"/>
                <w:szCs w:val="21"/>
                <w:lang w:val="en-US"/>
              </w:rPr>
              <w:t>O</w:t>
            </w:r>
            <w:r w:rsidRPr="009D1752">
              <w:rPr>
                <w:b/>
                <w:bCs/>
                <w:color w:val="000000"/>
                <w:sz w:val="21"/>
                <w:szCs w:val="21"/>
                <w:lang w:val="en-US"/>
              </w:rPr>
              <w:t>ther Expense</w:t>
            </w:r>
            <w:r w:rsidR="00705C56">
              <w:rPr>
                <w:b/>
                <w:bCs/>
                <w:color w:val="000000"/>
                <w:sz w:val="21"/>
                <w:szCs w:val="21"/>
                <w:lang w:val="en-US"/>
              </w:rPr>
              <w:t>s</w:t>
            </w:r>
          </w:p>
        </w:tc>
        <w:tc>
          <w:tcPr>
            <w:tcW w:w="1134" w:type="dxa"/>
            <w:shd w:val="clear" w:color="auto" w:fill="auto"/>
            <w:noWrap/>
            <w:vAlign w:val="center"/>
            <w:hideMark/>
          </w:tcPr>
          <w:p w14:paraId="2F417858"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2,750</w:t>
            </w:r>
          </w:p>
        </w:tc>
        <w:tc>
          <w:tcPr>
            <w:tcW w:w="1134" w:type="dxa"/>
            <w:shd w:val="clear" w:color="auto" w:fill="auto"/>
            <w:noWrap/>
            <w:vAlign w:val="center"/>
            <w:hideMark/>
          </w:tcPr>
          <w:p w14:paraId="7DB2A780"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2,200</w:t>
            </w:r>
          </w:p>
        </w:tc>
        <w:tc>
          <w:tcPr>
            <w:tcW w:w="1243" w:type="dxa"/>
            <w:shd w:val="clear" w:color="auto" w:fill="auto"/>
            <w:noWrap/>
            <w:vAlign w:val="center"/>
            <w:hideMark/>
          </w:tcPr>
          <w:p w14:paraId="49D0CA0B"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 xml:space="preserve">    550</w:t>
            </w:r>
          </w:p>
        </w:tc>
        <w:tc>
          <w:tcPr>
            <w:tcW w:w="2848" w:type="dxa"/>
            <w:shd w:val="clear" w:color="auto" w:fill="auto"/>
            <w:vAlign w:val="center"/>
            <w:hideMark/>
          </w:tcPr>
          <w:p w14:paraId="69E3DB3D" w14:textId="77777777" w:rsidR="00082540" w:rsidRPr="009D1752" w:rsidRDefault="00082540" w:rsidP="00082540">
            <w:pPr>
              <w:rPr>
                <w:rFonts w:eastAsia="华文楷体"/>
                <w:color w:val="000000"/>
                <w:sz w:val="22"/>
                <w:szCs w:val="22"/>
                <w:lang w:val="en-US"/>
              </w:rPr>
            </w:pPr>
            <w:r w:rsidRPr="009D1752">
              <w:rPr>
                <w:rFonts w:eastAsia="华文楷体" w:hint="eastAsia"/>
                <w:color w:val="000000"/>
                <w:sz w:val="22"/>
                <w:szCs w:val="22"/>
                <w:lang w:val="en-US"/>
              </w:rPr>
              <w:t xml:space="preserve">　</w:t>
            </w:r>
          </w:p>
        </w:tc>
      </w:tr>
      <w:tr w:rsidR="00082540" w:rsidRPr="00082540" w14:paraId="2E35B69F" w14:textId="77777777" w:rsidTr="009D1752">
        <w:trPr>
          <w:trHeight w:val="330"/>
          <w:jc w:val="center"/>
        </w:trPr>
        <w:tc>
          <w:tcPr>
            <w:tcW w:w="2972" w:type="dxa"/>
            <w:shd w:val="clear" w:color="auto" w:fill="auto"/>
            <w:noWrap/>
            <w:vAlign w:val="center"/>
          </w:tcPr>
          <w:p w14:paraId="7BF17584" w14:textId="77777777" w:rsidR="00082540" w:rsidRPr="009D1752" w:rsidRDefault="00082540" w:rsidP="00082540">
            <w:pPr>
              <w:rPr>
                <w:color w:val="000000"/>
                <w:sz w:val="21"/>
                <w:szCs w:val="21"/>
                <w:lang w:val="en-US"/>
              </w:rPr>
            </w:pPr>
            <w:r w:rsidRPr="009D1752">
              <w:rPr>
                <w:color w:val="000000"/>
                <w:sz w:val="21"/>
                <w:szCs w:val="21"/>
                <w:lang w:val="en-US"/>
              </w:rPr>
              <w:t>Audit Fees</w:t>
            </w:r>
          </w:p>
        </w:tc>
        <w:tc>
          <w:tcPr>
            <w:tcW w:w="1134" w:type="dxa"/>
            <w:shd w:val="clear" w:color="auto" w:fill="auto"/>
            <w:noWrap/>
            <w:vAlign w:val="center"/>
          </w:tcPr>
          <w:p w14:paraId="793642EF"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400</w:t>
            </w:r>
          </w:p>
        </w:tc>
        <w:tc>
          <w:tcPr>
            <w:tcW w:w="1134" w:type="dxa"/>
            <w:shd w:val="clear" w:color="auto" w:fill="auto"/>
            <w:noWrap/>
            <w:vAlign w:val="center"/>
          </w:tcPr>
          <w:p w14:paraId="31B2BFF0"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400</w:t>
            </w:r>
          </w:p>
        </w:tc>
        <w:tc>
          <w:tcPr>
            <w:tcW w:w="1243" w:type="dxa"/>
            <w:shd w:val="clear" w:color="auto" w:fill="auto"/>
            <w:noWrap/>
            <w:vAlign w:val="center"/>
          </w:tcPr>
          <w:p w14:paraId="317A306E" w14:textId="77777777" w:rsidR="00082540" w:rsidRPr="009D1752" w:rsidRDefault="00082540" w:rsidP="009D1752">
            <w:pPr>
              <w:jc w:val="right"/>
              <w:rPr>
                <w:color w:val="000000"/>
                <w:kern w:val="2"/>
                <w:sz w:val="21"/>
                <w:szCs w:val="21"/>
                <w:lang w:val="en-US"/>
              </w:rPr>
            </w:pPr>
          </w:p>
        </w:tc>
        <w:tc>
          <w:tcPr>
            <w:tcW w:w="2848" w:type="dxa"/>
            <w:shd w:val="clear" w:color="auto" w:fill="auto"/>
            <w:vAlign w:val="center"/>
          </w:tcPr>
          <w:p w14:paraId="37A0C86C" w14:textId="77777777" w:rsidR="00082540" w:rsidRPr="009D1752" w:rsidRDefault="00082540" w:rsidP="00082540">
            <w:pPr>
              <w:rPr>
                <w:rFonts w:eastAsia="华文楷体"/>
                <w:color w:val="000000"/>
                <w:sz w:val="22"/>
                <w:szCs w:val="22"/>
                <w:lang w:val="en-US"/>
              </w:rPr>
            </w:pPr>
          </w:p>
        </w:tc>
      </w:tr>
      <w:tr w:rsidR="00082540" w:rsidRPr="00082540" w14:paraId="05D22E68" w14:textId="77777777" w:rsidTr="009D1752">
        <w:trPr>
          <w:trHeight w:val="70"/>
          <w:jc w:val="center"/>
        </w:trPr>
        <w:tc>
          <w:tcPr>
            <w:tcW w:w="2972" w:type="dxa"/>
            <w:shd w:val="clear" w:color="auto" w:fill="auto"/>
            <w:noWrap/>
            <w:vAlign w:val="center"/>
            <w:hideMark/>
          </w:tcPr>
          <w:p w14:paraId="5DABAE01" w14:textId="77777777" w:rsidR="00082540" w:rsidRPr="009D1752" w:rsidRDefault="00082540" w:rsidP="00082540">
            <w:pPr>
              <w:rPr>
                <w:color w:val="000000"/>
                <w:sz w:val="21"/>
                <w:szCs w:val="21"/>
                <w:lang w:val="en-US"/>
              </w:rPr>
            </w:pPr>
            <w:r w:rsidRPr="009D1752">
              <w:rPr>
                <w:color w:val="000000"/>
                <w:sz w:val="21"/>
                <w:szCs w:val="21"/>
                <w:lang w:val="en-US"/>
              </w:rPr>
              <w:t>Income Expenses</w:t>
            </w:r>
          </w:p>
        </w:tc>
        <w:tc>
          <w:tcPr>
            <w:tcW w:w="1134" w:type="dxa"/>
            <w:shd w:val="clear" w:color="auto" w:fill="auto"/>
            <w:noWrap/>
            <w:vAlign w:val="center"/>
            <w:hideMark/>
          </w:tcPr>
          <w:p w14:paraId="1E3F37B4"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390</w:t>
            </w:r>
          </w:p>
        </w:tc>
        <w:tc>
          <w:tcPr>
            <w:tcW w:w="1134" w:type="dxa"/>
            <w:shd w:val="clear" w:color="auto" w:fill="auto"/>
            <w:noWrap/>
            <w:vAlign w:val="center"/>
            <w:hideMark/>
          </w:tcPr>
          <w:p w14:paraId="7A48B7F9" w14:textId="77777777" w:rsidR="00082540" w:rsidRPr="009D1752" w:rsidRDefault="00082540" w:rsidP="009D1752">
            <w:pPr>
              <w:jc w:val="right"/>
              <w:rPr>
                <w:color w:val="000000"/>
                <w:kern w:val="2"/>
                <w:sz w:val="21"/>
                <w:szCs w:val="21"/>
                <w:lang w:val="en-US"/>
              </w:rPr>
            </w:pPr>
            <w:r w:rsidRPr="009D1752">
              <w:rPr>
                <w:rFonts w:hint="eastAsia"/>
                <w:color w:val="000000"/>
                <w:kern w:val="2"/>
                <w:sz w:val="21"/>
                <w:szCs w:val="21"/>
                <w:lang w:val="en-US"/>
              </w:rPr>
              <w:t xml:space="preserve">　</w:t>
            </w:r>
          </w:p>
        </w:tc>
        <w:tc>
          <w:tcPr>
            <w:tcW w:w="1243" w:type="dxa"/>
            <w:shd w:val="clear" w:color="auto" w:fill="auto"/>
            <w:noWrap/>
            <w:vAlign w:val="center"/>
            <w:hideMark/>
          </w:tcPr>
          <w:p w14:paraId="52C6C584" w14:textId="77777777" w:rsidR="00082540" w:rsidRPr="009D1752" w:rsidRDefault="00082540" w:rsidP="009D1752">
            <w:pPr>
              <w:ind w:firstLineChars="50" w:firstLine="105"/>
              <w:jc w:val="right"/>
              <w:rPr>
                <w:color w:val="000000"/>
                <w:kern w:val="2"/>
                <w:sz w:val="21"/>
                <w:szCs w:val="21"/>
                <w:lang w:val="en-US"/>
              </w:rPr>
            </w:pPr>
            <w:r w:rsidRPr="009D1752">
              <w:rPr>
                <w:rFonts w:hint="eastAsia"/>
                <w:color w:val="000000"/>
                <w:kern w:val="2"/>
                <w:sz w:val="21"/>
                <w:szCs w:val="21"/>
                <w:lang w:val="en-US"/>
              </w:rPr>
              <w:t xml:space="preserve">　</w:t>
            </w:r>
            <w:r w:rsidRPr="009D1752">
              <w:rPr>
                <w:color w:val="000000"/>
                <w:kern w:val="2"/>
                <w:sz w:val="21"/>
                <w:szCs w:val="21"/>
                <w:lang w:val="en-US"/>
              </w:rPr>
              <w:t>390</w:t>
            </w:r>
          </w:p>
        </w:tc>
        <w:tc>
          <w:tcPr>
            <w:tcW w:w="2848" w:type="dxa"/>
            <w:shd w:val="clear" w:color="auto" w:fill="auto"/>
            <w:vAlign w:val="center"/>
            <w:hideMark/>
          </w:tcPr>
          <w:p w14:paraId="2E942EBF" w14:textId="489B6CA7" w:rsidR="00082540" w:rsidRPr="009D1752" w:rsidRDefault="009E7C96" w:rsidP="00082540">
            <w:pPr>
              <w:rPr>
                <w:rFonts w:eastAsia="华文楷体"/>
                <w:color w:val="000000"/>
                <w:sz w:val="22"/>
                <w:szCs w:val="22"/>
                <w:lang w:val="en-US"/>
              </w:rPr>
            </w:pPr>
            <w:r w:rsidRPr="009E7C96">
              <w:rPr>
                <w:rFonts w:eastAsia="华文楷体"/>
                <w:color w:val="000000"/>
                <w:sz w:val="22"/>
                <w:szCs w:val="22"/>
                <w:lang w:val="en-US"/>
              </w:rPr>
              <w:t xml:space="preserve">New loans of </w:t>
            </w:r>
            <w:r>
              <w:rPr>
                <w:rFonts w:eastAsia="华文楷体"/>
                <w:color w:val="000000"/>
                <w:sz w:val="22"/>
                <w:szCs w:val="22"/>
                <w:lang w:val="en-US"/>
              </w:rPr>
              <w:t xml:space="preserve">RMB </w:t>
            </w:r>
            <w:r w:rsidRPr="009E7C96">
              <w:rPr>
                <w:rFonts w:eastAsia="华文楷体"/>
                <w:color w:val="000000"/>
                <w:sz w:val="22"/>
                <w:szCs w:val="22"/>
                <w:lang w:val="en-US"/>
              </w:rPr>
              <w:t>8</w:t>
            </w:r>
            <w:r>
              <w:rPr>
                <w:rFonts w:eastAsia="华文楷体"/>
                <w:color w:val="000000"/>
                <w:sz w:val="22"/>
                <w:szCs w:val="22"/>
                <w:lang w:val="en-US"/>
              </w:rPr>
              <w:t>.</w:t>
            </w:r>
            <w:r w:rsidRPr="009E7C96">
              <w:rPr>
                <w:rFonts w:eastAsia="华文楷体"/>
                <w:color w:val="000000"/>
                <w:sz w:val="22"/>
                <w:szCs w:val="22"/>
                <w:lang w:val="en-US"/>
              </w:rPr>
              <w:t>95</w:t>
            </w:r>
            <w:r>
              <w:rPr>
                <w:rFonts w:eastAsia="华文楷体"/>
                <w:color w:val="000000"/>
                <w:sz w:val="22"/>
                <w:szCs w:val="22"/>
                <w:lang w:val="en-US"/>
              </w:rPr>
              <w:t xml:space="preserve"> million</w:t>
            </w:r>
          </w:p>
        </w:tc>
      </w:tr>
      <w:tr w:rsidR="00082540" w:rsidRPr="00082540" w14:paraId="018F239F" w14:textId="77777777" w:rsidTr="009D1752">
        <w:trPr>
          <w:trHeight w:val="70"/>
          <w:jc w:val="center"/>
        </w:trPr>
        <w:tc>
          <w:tcPr>
            <w:tcW w:w="2972" w:type="dxa"/>
            <w:shd w:val="clear" w:color="auto" w:fill="auto"/>
            <w:noWrap/>
            <w:vAlign w:val="center"/>
          </w:tcPr>
          <w:p w14:paraId="6B4AF72A" w14:textId="77777777" w:rsidR="00082540" w:rsidRPr="009D1752" w:rsidRDefault="00082540" w:rsidP="00082540">
            <w:pPr>
              <w:rPr>
                <w:color w:val="000000"/>
                <w:sz w:val="21"/>
                <w:szCs w:val="21"/>
                <w:lang w:val="en-US"/>
              </w:rPr>
            </w:pPr>
            <w:r w:rsidRPr="009D1752">
              <w:rPr>
                <w:color w:val="000000"/>
                <w:sz w:val="21"/>
                <w:szCs w:val="21"/>
                <w:lang w:val="en-US"/>
              </w:rPr>
              <w:t>Other Consulting Fees</w:t>
            </w:r>
          </w:p>
        </w:tc>
        <w:tc>
          <w:tcPr>
            <w:tcW w:w="1134" w:type="dxa"/>
            <w:shd w:val="clear" w:color="auto" w:fill="auto"/>
            <w:noWrap/>
            <w:vAlign w:val="center"/>
          </w:tcPr>
          <w:p w14:paraId="35F8E69E"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1,960</w:t>
            </w:r>
          </w:p>
        </w:tc>
        <w:tc>
          <w:tcPr>
            <w:tcW w:w="1134" w:type="dxa"/>
            <w:shd w:val="clear" w:color="auto" w:fill="auto"/>
            <w:noWrap/>
            <w:vAlign w:val="center"/>
          </w:tcPr>
          <w:p w14:paraId="28B405A7" w14:textId="77777777" w:rsidR="00082540" w:rsidRPr="009D1752" w:rsidRDefault="00082540" w:rsidP="009D1752">
            <w:pPr>
              <w:jc w:val="right"/>
              <w:rPr>
                <w:color w:val="000000"/>
                <w:kern w:val="2"/>
                <w:sz w:val="21"/>
                <w:szCs w:val="21"/>
                <w:lang w:val="en-US"/>
              </w:rPr>
            </w:pPr>
            <w:r w:rsidRPr="009D1752">
              <w:rPr>
                <w:color w:val="000000"/>
                <w:kern w:val="2"/>
                <w:sz w:val="21"/>
                <w:szCs w:val="21"/>
                <w:lang w:val="en-US"/>
              </w:rPr>
              <w:t>1,800</w:t>
            </w:r>
          </w:p>
        </w:tc>
        <w:tc>
          <w:tcPr>
            <w:tcW w:w="1243" w:type="dxa"/>
            <w:shd w:val="clear" w:color="auto" w:fill="auto"/>
            <w:noWrap/>
            <w:vAlign w:val="center"/>
          </w:tcPr>
          <w:p w14:paraId="1D49B1BC" w14:textId="77777777" w:rsidR="00082540" w:rsidRPr="009D1752" w:rsidRDefault="00082540" w:rsidP="009D1752">
            <w:pPr>
              <w:ind w:firstLineChars="150" w:firstLine="315"/>
              <w:jc w:val="right"/>
              <w:rPr>
                <w:color w:val="000000"/>
                <w:kern w:val="2"/>
                <w:sz w:val="21"/>
                <w:szCs w:val="21"/>
                <w:lang w:val="en-US"/>
              </w:rPr>
            </w:pPr>
            <w:r w:rsidRPr="009D1752">
              <w:rPr>
                <w:color w:val="000000"/>
                <w:kern w:val="2"/>
                <w:sz w:val="21"/>
                <w:szCs w:val="21"/>
                <w:lang w:val="en-US"/>
              </w:rPr>
              <w:t>160</w:t>
            </w:r>
          </w:p>
        </w:tc>
        <w:tc>
          <w:tcPr>
            <w:tcW w:w="2848" w:type="dxa"/>
            <w:shd w:val="clear" w:color="auto" w:fill="auto"/>
            <w:vAlign w:val="center"/>
          </w:tcPr>
          <w:p w14:paraId="2F343983" w14:textId="0025F0C7" w:rsidR="00082540" w:rsidRPr="009D1752" w:rsidRDefault="009E7C96" w:rsidP="00082540">
            <w:pPr>
              <w:rPr>
                <w:rFonts w:eastAsia="华文楷体"/>
                <w:color w:val="000000"/>
                <w:sz w:val="22"/>
                <w:szCs w:val="22"/>
                <w:lang w:val="en-US"/>
              </w:rPr>
            </w:pPr>
            <w:r>
              <w:rPr>
                <w:rFonts w:eastAsia="华文楷体" w:hint="eastAsia"/>
                <w:color w:val="000000"/>
                <w:sz w:val="22"/>
                <w:szCs w:val="22"/>
                <w:lang w:val="en-US"/>
              </w:rPr>
              <w:t>D</w:t>
            </w:r>
            <w:r>
              <w:rPr>
                <w:rFonts w:eastAsia="华文楷体"/>
                <w:color w:val="000000"/>
                <w:sz w:val="22"/>
                <w:szCs w:val="22"/>
                <w:lang w:val="en-US"/>
              </w:rPr>
              <w:t xml:space="preserve">D Cost of RMB 450,000 for </w:t>
            </w:r>
            <w:proofErr w:type="spellStart"/>
            <w:r>
              <w:rPr>
                <w:rFonts w:eastAsia="华文楷体"/>
                <w:color w:val="000000"/>
                <w:sz w:val="22"/>
                <w:szCs w:val="22"/>
                <w:lang w:val="en-US"/>
              </w:rPr>
              <w:t>Xaircraft</w:t>
            </w:r>
            <w:proofErr w:type="spellEnd"/>
          </w:p>
        </w:tc>
      </w:tr>
      <w:tr w:rsidR="00082540" w:rsidRPr="00082540" w14:paraId="58EA2567" w14:textId="77777777" w:rsidTr="009D1752">
        <w:trPr>
          <w:trHeight w:val="330"/>
          <w:jc w:val="center"/>
        </w:trPr>
        <w:tc>
          <w:tcPr>
            <w:tcW w:w="2972" w:type="dxa"/>
            <w:shd w:val="clear" w:color="auto" w:fill="auto"/>
            <w:noWrap/>
            <w:vAlign w:val="center"/>
            <w:hideMark/>
          </w:tcPr>
          <w:p w14:paraId="6B5633BF" w14:textId="77777777" w:rsidR="00082540" w:rsidRPr="009D1752" w:rsidRDefault="00082540" w:rsidP="00082540">
            <w:pPr>
              <w:rPr>
                <w:rFonts w:eastAsia="华文楷体"/>
                <w:b/>
                <w:color w:val="000000"/>
                <w:sz w:val="21"/>
                <w:szCs w:val="21"/>
                <w:lang w:val="en-US"/>
              </w:rPr>
            </w:pPr>
            <w:r w:rsidRPr="009D1752">
              <w:rPr>
                <w:b/>
                <w:color w:val="000000"/>
                <w:sz w:val="21"/>
                <w:szCs w:val="21"/>
                <w:lang w:val="en-US"/>
              </w:rPr>
              <w:t>Subtotal</w:t>
            </w:r>
          </w:p>
        </w:tc>
        <w:tc>
          <w:tcPr>
            <w:tcW w:w="1134" w:type="dxa"/>
            <w:shd w:val="clear" w:color="auto" w:fill="auto"/>
            <w:noWrap/>
            <w:vAlign w:val="center"/>
            <w:hideMark/>
          </w:tcPr>
          <w:p w14:paraId="650C0DF0" w14:textId="77777777" w:rsidR="00082540" w:rsidRPr="009D1752" w:rsidRDefault="00082540" w:rsidP="009D1752">
            <w:pPr>
              <w:jc w:val="right"/>
              <w:rPr>
                <w:b/>
                <w:color w:val="000000"/>
                <w:kern w:val="2"/>
                <w:sz w:val="21"/>
                <w:szCs w:val="21"/>
                <w:lang w:val="en-US"/>
              </w:rPr>
            </w:pPr>
            <w:r w:rsidRPr="009D1752">
              <w:rPr>
                <w:b/>
                <w:color w:val="000000"/>
                <w:kern w:val="2"/>
                <w:sz w:val="21"/>
                <w:szCs w:val="21"/>
                <w:lang w:val="en-US"/>
              </w:rPr>
              <w:t>65,618</w:t>
            </w:r>
          </w:p>
        </w:tc>
        <w:tc>
          <w:tcPr>
            <w:tcW w:w="1134" w:type="dxa"/>
            <w:shd w:val="clear" w:color="auto" w:fill="auto"/>
            <w:noWrap/>
            <w:vAlign w:val="center"/>
            <w:hideMark/>
          </w:tcPr>
          <w:p w14:paraId="1A7F969E" w14:textId="77777777" w:rsidR="00082540" w:rsidRPr="009D1752" w:rsidRDefault="00082540" w:rsidP="009D1752">
            <w:pPr>
              <w:jc w:val="right"/>
              <w:rPr>
                <w:b/>
                <w:color w:val="000000"/>
                <w:kern w:val="2"/>
                <w:sz w:val="21"/>
                <w:szCs w:val="21"/>
                <w:lang w:val="en-US"/>
              </w:rPr>
            </w:pPr>
            <w:r w:rsidRPr="009D1752">
              <w:rPr>
                <w:b/>
                <w:color w:val="000000"/>
                <w:kern w:val="2"/>
                <w:sz w:val="21"/>
                <w:szCs w:val="21"/>
                <w:lang w:val="en-US"/>
              </w:rPr>
              <w:t>84,640</w:t>
            </w:r>
          </w:p>
        </w:tc>
        <w:tc>
          <w:tcPr>
            <w:tcW w:w="1243" w:type="dxa"/>
            <w:shd w:val="clear" w:color="auto" w:fill="auto"/>
            <w:noWrap/>
            <w:vAlign w:val="center"/>
            <w:hideMark/>
          </w:tcPr>
          <w:p w14:paraId="2BC1EA7D" w14:textId="77777777" w:rsidR="00082540" w:rsidRPr="009D1752" w:rsidRDefault="00082540" w:rsidP="009D1752">
            <w:pPr>
              <w:jc w:val="right"/>
              <w:rPr>
                <w:b/>
                <w:color w:val="000000"/>
                <w:kern w:val="2"/>
                <w:sz w:val="21"/>
                <w:szCs w:val="21"/>
                <w:lang w:val="en-US"/>
              </w:rPr>
            </w:pPr>
            <w:r w:rsidRPr="009D1752">
              <w:rPr>
                <w:b/>
                <w:color w:val="000000"/>
                <w:kern w:val="2"/>
                <w:sz w:val="21"/>
                <w:szCs w:val="21"/>
                <w:lang w:val="en-US"/>
              </w:rPr>
              <w:t>-19,022</w:t>
            </w:r>
          </w:p>
        </w:tc>
        <w:tc>
          <w:tcPr>
            <w:tcW w:w="2848" w:type="dxa"/>
            <w:shd w:val="clear" w:color="auto" w:fill="auto"/>
            <w:vAlign w:val="center"/>
            <w:hideMark/>
          </w:tcPr>
          <w:p w14:paraId="494D9500" w14:textId="4DB0B7DB" w:rsidR="00082540" w:rsidRDefault="00082540" w:rsidP="00082540">
            <w:pPr>
              <w:rPr>
                <w:rFonts w:eastAsia="华文楷体"/>
                <w:color w:val="000000"/>
                <w:sz w:val="22"/>
                <w:szCs w:val="22"/>
                <w:lang w:val="en-US"/>
              </w:rPr>
            </w:pPr>
            <w:r w:rsidRPr="009D1752">
              <w:rPr>
                <w:rFonts w:eastAsia="华文楷体" w:hint="eastAsia"/>
                <w:color w:val="000000"/>
                <w:sz w:val="22"/>
                <w:szCs w:val="22"/>
                <w:lang w:val="en-US"/>
              </w:rPr>
              <w:t xml:space="preserve">　</w:t>
            </w:r>
          </w:p>
          <w:p w14:paraId="0F8A29D9" w14:textId="77777777" w:rsidR="002F78C7" w:rsidRPr="009D1752" w:rsidRDefault="002F78C7" w:rsidP="00082540">
            <w:pPr>
              <w:rPr>
                <w:rFonts w:eastAsia="华文楷体"/>
                <w:color w:val="000000"/>
                <w:sz w:val="22"/>
                <w:szCs w:val="22"/>
                <w:lang w:val="en-US"/>
              </w:rPr>
            </w:pPr>
          </w:p>
          <w:p w14:paraId="405A07CD" w14:textId="77777777" w:rsidR="00082540" w:rsidRPr="009D1752" w:rsidRDefault="00082540" w:rsidP="00082540">
            <w:pPr>
              <w:rPr>
                <w:rFonts w:eastAsia="华文楷体"/>
                <w:color w:val="000000"/>
                <w:sz w:val="22"/>
                <w:szCs w:val="22"/>
                <w:lang w:val="en-US"/>
              </w:rPr>
            </w:pPr>
          </w:p>
        </w:tc>
      </w:tr>
    </w:tbl>
    <w:p w14:paraId="70AA4360" w14:textId="707FFB46" w:rsidR="005473D9" w:rsidRPr="009A2AEF" w:rsidRDefault="005473D9" w:rsidP="006D44C5">
      <w:pPr>
        <w:spacing w:line="360" w:lineRule="auto"/>
        <w:jc w:val="both"/>
        <w:rPr>
          <w:rFonts w:eastAsia="仿宋_GB2312"/>
          <w:bCs/>
          <w:sz w:val="28"/>
          <w:szCs w:val="28"/>
          <w:lang w:val="en-US"/>
        </w:rPr>
      </w:pPr>
      <w:r w:rsidRPr="009A2AEF">
        <w:rPr>
          <w:rFonts w:eastAsia="仿宋_GB2312"/>
          <w:bCs/>
          <w:sz w:val="28"/>
          <w:szCs w:val="28"/>
          <w:lang w:val="en-US"/>
        </w:rPr>
        <w:t xml:space="preserve">In 2018, the </w:t>
      </w:r>
      <w:r w:rsidR="00225239" w:rsidRPr="009A2AEF">
        <w:rPr>
          <w:rFonts w:eastAsia="仿宋_GB2312"/>
          <w:bCs/>
          <w:sz w:val="28"/>
          <w:szCs w:val="28"/>
          <w:lang w:val="en-US"/>
        </w:rPr>
        <w:t>Company</w:t>
      </w:r>
      <w:r w:rsidR="00225239">
        <w:rPr>
          <w:rFonts w:eastAsia="仿宋_GB2312"/>
          <w:bCs/>
          <w:sz w:val="28"/>
          <w:szCs w:val="28"/>
          <w:lang w:val="en-US"/>
        </w:rPr>
        <w:t xml:space="preserve"> achieved </w:t>
      </w:r>
      <w:r w:rsidRPr="009A2AEF">
        <w:rPr>
          <w:rFonts w:eastAsia="仿宋_GB2312"/>
          <w:bCs/>
          <w:sz w:val="28"/>
          <w:szCs w:val="28"/>
          <w:lang w:val="en-US"/>
        </w:rPr>
        <w:t xml:space="preserve">total revenue </w:t>
      </w:r>
      <w:r w:rsidR="00225239">
        <w:rPr>
          <w:rFonts w:eastAsia="仿宋_GB2312"/>
          <w:bCs/>
          <w:sz w:val="28"/>
          <w:szCs w:val="28"/>
          <w:lang w:val="en-US"/>
        </w:rPr>
        <w:t>of</w:t>
      </w:r>
      <w:r w:rsidR="00225239" w:rsidRPr="009A2AEF">
        <w:rPr>
          <w:rFonts w:eastAsia="仿宋_GB2312"/>
          <w:bCs/>
          <w:sz w:val="28"/>
          <w:szCs w:val="28"/>
          <w:lang w:val="en-US"/>
        </w:rPr>
        <w:t xml:space="preserve"> </w:t>
      </w:r>
      <w:r w:rsidRPr="009A2AEF">
        <w:rPr>
          <w:rFonts w:eastAsia="仿宋_GB2312"/>
          <w:bCs/>
          <w:sz w:val="28"/>
          <w:szCs w:val="28"/>
          <w:lang w:val="en-US"/>
        </w:rPr>
        <w:t xml:space="preserve">RMB 68.01 million, </w:t>
      </w:r>
      <w:r w:rsidR="00225239">
        <w:rPr>
          <w:rFonts w:eastAsia="仿宋_GB2312"/>
          <w:bCs/>
          <w:sz w:val="28"/>
          <w:szCs w:val="28"/>
          <w:lang w:val="en-US"/>
        </w:rPr>
        <w:t xml:space="preserve">incurred </w:t>
      </w:r>
      <w:r w:rsidRPr="009A2AEF">
        <w:rPr>
          <w:rFonts w:eastAsia="仿宋_GB2312"/>
          <w:bCs/>
          <w:sz w:val="28"/>
          <w:szCs w:val="28"/>
          <w:lang w:val="en-US"/>
        </w:rPr>
        <w:t>operating expense</w:t>
      </w:r>
      <w:r w:rsidR="00225239">
        <w:rPr>
          <w:rFonts w:eastAsia="仿宋_GB2312"/>
          <w:bCs/>
          <w:sz w:val="28"/>
          <w:szCs w:val="28"/>
          <w:lang w:val="en-US"/>
        </w:rPr>
        <w:t>s</w:t>
      </w:r>
      <w:r w:rsidRPr="009A2AEF">
        <w:rPr>
          <w:rFonts w:eastAsia="仿宋_GB2312"/>
          <w:bCs/>
          <w:sz w:val="28"/>
          <w:szCs w:val="28"/>
          <w:lang w:val="en-US"/>
        </w:rPr>
        <w:t xml:space="preserve"> </w:t>
      </w:r>
      <w:r w:rsidR="00225239">
        <w:rPr>
          <w:rFonts w:eastAsia="仿宋_GB2312"/>
          <w:bCs/>
          <w:sz w:val="28"/>
          <w:szCs w:val="28"/>
          <w:lang w:val="en-US"/>
        </w:rPr>
        <w:t>of</w:t>
      </w:r>
      <w:r w:rsidR="00225239" w:rsidRPr="009A2AEF">
        <w:rPr>
          <w:rFonts w:eastAsia="仿宋_GB2312"/>
          <w:bCs/>
          <w:sz w:val="28"/>
          <w:szCs w:val="28"/>
          <w:lang w:val="en-US"/>
        </w:rPr>
        <w:t xml:space="preserve"> </w:t>
      </w:r>
      <w:r w:rsidRPr="009A2AEF">
        <w:rPr>
          <w:rFonts w:eastAsia="仿宋_GB2312"/>
          <w:bCs/>
          <w:sz w:val="28"/>
          <w:szCs w:val="28"/>
          <w:lang w:val="en-US"/>
        </w:rPr>
        <w:t xml:space="preserve">RMB 65.62 million. The Company </w:t>
      </w:r>
      <w:r w:rsidR="00225239">
        <w:rPr>
          <w:rFonts w:eastAsia="仿宋_GB2312"/>
          <w:bCs/>
          <w:sz w:val="28"/>
          <w:szCs w:val="28"/>
          <w:lang w:val="en-US"/>
        </w:rPr>
        <w:t>should</w:t>
      </w:r>
      <w:r w:rsidR="00225239" w:rsidRPr="009A2AEF">
        <w:rPr>
          <w:rFonts w:eastAsia="仿宋_GB2312"/>
          <w:bCs/>
          <w:sz w:val="28"/>
          <w:szCs w:val="28"/>
          <w:lang w:val="en-US"/>
        </w:rPr>
        <w:t xml:space="preserve"> </w:t>
      </w:r>
      <w:r w:rsidRPr="009A2AEF">
        <w:rPr>
          <w:rFonts w:eastAsia="仿宋_GB2312"/>
          <w:bCs/>
          <w:sz w:val="28"/>
          <w:szCs w:val="28"/>
          <w:lang w:val="en-US"/>
        </w:rPr>
        <w:t xml:space="preserve">realize </w:t>
      </w:r>
      <w:r w:rsidR="00225239">
        <w:rPr>
          <w:rFonts w:eastAsia="仿宋_GB2312"/>
          <w:bCs/>
          <w:sz w:val="28"/>
          <w:szCs w:val="28"/>
          <w:lang w:val="en-US"/>
        </w:rPr>
        <w:t xml:space="preserve">an </w:t>
      </w:r>
      <w:r w:rsidRPr="009A2AEF">
        <w:rPr>
          <w:rFonts w:eastAsia="仿宋_GB2312"/>
          <w:bCs/>
          <w:sz w:val="28"/>
          <w:szCs w:val="28"/>
          <w:lang w:val="en-US"/>
        </w:rPr>
        <w:t xml:space="preserve">operating profit of RMB 2.36 million. In order to solve the cash flow problem of interest payment </w:t>
      </w:r>
      <w:r w:rsidR="00225239">
        <w:rPr>
          <w:rFonts w:eastAsia="仿宋_GB2312"/>
          <w:bCs/>
          <w:sz w:val="28"/>
          <w:szCs w:val="28"/>
          <w:lang w:val="en-US"/>
        </w:rPr>
        <w:t>under Project</w:t>
      </w:r>
      <w:r w:rsidR="00225239" w:rsidRPr="009A2AEF">
        <w:rPr>
          <w:rFonts w:eastAsia="仿宋_GB2312"/>
          <w:bCs/>
          <w:sz w:val="28"/>
          <w:szCs w:val="28"/>
          <w:lang w:val="en-US"/>
        </w:rPr>
        <w:t xml:space="preserve"> </w:t>
      </w:r>
      <w:r w:rsidR="00102190">
        <w:rPr>
          <w:rFonts w:eastAsia="仿宋_GB2312"/>
          <w:bCs/>
          <w:sz w:val="28"/>
          <w:szCs w:val="28"/>
          <w:lang w:val="en-US"/>
        </w:rPr>
        <w:t>Hanson</w:t>
      </w:r>
      <w:r w:rsidRPr="009A2AEF">
        <w:rPr>
          <w:rFonts w:eastAsia="仿宋_GB2312"/>
          <w:bCs/>
          <w:sz w:val="28"/>
          <w:szCs w:val="28"/>
          <w:lang w:val="en-US"/>
        </w:rPr>
        <w:t xml:space="preserve">, the Company borrowed </w:t>
      </w:r>
      <w:r w:rsidR="00225239">
        <w:rPr>
          <w:rFonts w:eastAsia="仿宋_GB2312"/>
          <w:bCs/>
          <w:sz w:val="28"/>
          <w:szCs w:val="28"/>
          <w:lang w:val="en-US"/>
        </w:rPr>
        <w:t>(</w:t>
      </w:r>
      <w:proofErr w:type="spellStart"/>
      <w:r w:rsidR="00225239">
        <w:rPr>
          <w:rFonts w:eastAsia="仿宋_GB2312"/>
          <w:bCs/>
          <w:sz w:val="28"/>
          <w:szCs w:val="28"/>
          <w:lang w:val="en-US"/>
        </w:rPr>
        <w:t>i</w:t>
      </w:r>
      <w:proofErr w:type="spellEnd"/>
      <w:r w:rsidR="00225239">
        <w:rPr>
          <w:rFonts w:eastAsia="仿宋_GB2312"/>
          <w:bCs/>
          <w:sz w:val="28"/>
          <w:szCs w:val="28"/>
          <w:lang w:val="en-US"/>
        </w:rPr>
        <w:t xml:space="preserve">) </w:t>
      </w:r>
      <w:r w:rsidRPr="009A2AEF">
        <w:rPr>
          <w:rFonts w:eastAsia="仿宋_GB2312"/>
          <w:bCs/>
          <w:sz w:val="28"/>
          <w:szCs w:val="28"/>
          <w:lang w:val="en-US"/>
        </w:rPr>
        <w:t>RMB 4.95 million from China Merchants Bank with an annualized interest of 9%</w:t>
      </w:r>
      <w:r w:rsidR="00225239">
        <w:rPr>
          <w:rFonts w:eastAsia="仿宋_GB2312"/>
          <w:bCs/>
          <w:sz w:val="28"/>
          <w:szCs w:val="28"/>
          <w:lang w:val="en-US"/>
        </w:rPr>
        <w:t xml:space="preserve"> and</w:t>
      </w:r>
      <w:r w:rsidRPr="009A2AEF">
        <w:rPr>
          <w:rFonts w:eastAsia="仿宋_GB2312"/>
          <w:bCs/>
          <w:sz w:val="28"/>
          <w:szCs w:val="28"/>
          <w:lang w:val="en-US"/>
        </w:rPr>
        <w:t xml:space="preserve"> </w:t>
      </w:r>
      <w:r w:rsidR="00225239">
        <w:rPr>
          <w:rFonts w:eastAsia="仿宋_GB2312"/>
          <w:bCs/>
          <w:sz w:val="28"/>
          <w:szCs w:val="28"/>
          <w:lang w:val="en-US"/>
        </w:rPr>
        <w:t>(ii)</w:t>
      </w:r>
      <w:r w:rsidR="00225239" w:rsidRPr="009A2AEF">
        <w:rPr>
          <w:rFonts w:eastAsia="仿宋_GB2312"/>
          <w:bCs/>
          <w:sz w:val="28"/>
          <w:szCs w:val="28"/>
          <w:lang w:val="en-US"/>
        </w:rPr>
        <w:t xml:space="preserve"> </w:t>
      </w:r>
      <w:r w:rsidRPr="009A2AEF">
        <w:rPr>
          <w:rFonts w:eastAsia="仿宋_GB2312"/>
          <w:bCs/>
          <w:sz w:val="28"/>
          <w:szCs w:val="28"/>
          <w:lang w:val="en-US"/>
        </w:rPr>
        <w:t>RMB 4 million from Xin Wang, with an annualized interest of 8%. The cash balance at the end of 2018 is RMB 26.01 million.</w:t>
      </w:r>
    </w:p>
    <w:p w14:paraId="4EE7AFBD" w14:textId="77777777" w:rsidR="005473D9" w:rsidRPr="001100D8" w:rsidRDefault="005473D9" w:rsidP="005473D9">
      <w:pPr>
        <w:jc w:val="both"/>
        <w:rPr>
          <w:b/>
          <w:sz w:val="28"/>
          <w:szCs w:val="28"/>
          <w:lang w:val="en-US"/>
        </w:rPr>
      </w:pPr>
      <w:r>
        <w:rPr>
          <w:b/>
          <w:sz w:val="28"/>
          <w:szCs w:val="28"/>
          <w:lang w:val="en-US"/>
        </w:rPr>
        <w:t>PART II: 2019</w:t>
      </w:r>
      <w:r w:rsidRPr="001100D8">
        <w:rPr>
          <w:b/>
          <w:sz w:val="28"/>
          <w:szCs w:val="28"/>
          <w:lang w:val="en-US"/>
        </w:rPr>
        <w:t xml:space="preserve"> Annual Budget </w:t>
      </w:r>
    </w:p>
    <w:p w14:paraId="294DB4DC" w14:textId="77777777" w:rsidR="005473D9" w:rsidRPr="001100D8" w:rsidRDefault="005473D9" w:rsidP="005473D9">
      <w:pPr>
        <w:jc w:val="both"/>
        <w:rPr>
          <w:b/>
          <w:sz w:val="28"/>
          <w:szCs w:val="28"/>
          <w:lang w:val="en-US"/>
        </w:rPr>
      </w:pPr>
      <w:r w:rsidRPr="001100D8">
        <w:rPr>
          <w:b/>
          <w:sz w:val="28"/>
          <w:szCs w:val="28"/>
          <w:lang w:val="en-US"/>
        </w:rPr>
        <w:t>A.</w:t>
      </w:r>
      <w:r w:rsidRPr="001100D8">
        <w:rPr>
          <w:b/>
          <w:sz w:val="28"/>
          <w:szCs w:val="28"/>
          <w:lang w:val="en-US"/>
        </w:rPr>
        <w:tab/>
        <w:t>Notes to Expense Budget</w:t>
      </w:r>
    </w:p>
    <w:p w14:paraId="2520358A" w14:textId="77777777" w:rsidR="005473D9" w:rsidRPr="008C4F69" w:rsidRDefault="005473D9" w:rsidP="005473D9">
      <w:pPr>
        <w:spacing w:line="360" w:lineRule="auto"/>
        <w:jc w:val="both"/>
        <w:rPr>
          <w:sz w:val="28"/>
          <w:szCs w:val="28"/>
          <w:lang w:val="en-US"/>
        </w:rPr>
      </w:pPr>
      <w:r>
        <w:rPr>
          <w:b/>
          <w:sz w:val="28"/>
          <w:szCs w:val="28"/>
          <w:lang w:val="en-US"/>
        </w:rPr>
        <w:t>Office and Administrative E</w:t>
      </w:r>
      <w:r w:rsidRPr="001100D8">
        <w:rPr>
          <w:b/>
          <w:sz w:val="28"/>
          <w:szCs w:val="28"/>
          <w:lang w:val="en-US"/>
        </w:rPr>
        <w:t>xpenses:</w:t>
      </w:r>
      <w:r w:rsidRPr="001100D8">
        <w:rPr>
          <w:sz w:val="28"/>
          <w:szCs w:val="28"/>
          <w:lang w:val="en-US"/>
        </w:rPr>
        <w:t xml:space="preserve"> </w:t>
      </w:r>
      <w:r>
        <w:rPr>
          <w:sz w:val="28"/>
          <w:szCs w:val="28"/>
          <w:lang w:val="en-US"/>
        </w:rPr>
        <w:t xml:space="preserve">According to the 2019 budget, </w:t>
      </w:r>
      <w:r w:rsidRPr="001100D8">
        <w:rPr>
          <w:sz w:val="28"/>
          <w:szCs w:val="28"/>
          <w:lang w:val="en-US"/>
        </w:rPr>
        <w:t>the Company will maintain the e</w:t>
      </w:r>
      <w:r>
        <w:rPr>
          <w:sz w:val="28"/>
          <w:szCs w:val="28"/>
          <w:lang w:val="en-US"/>
        </w:rPr>
        <w:t xml:space="preserve">xisting office lease, </w:t>
      </w:r>
      <w:r w:rsidRPr="001100D8">
        <w:rPr>
          <w:sz w:val="28"/>
          <w:szCs w:val="28"/>
          <w:lang w:val="en-US"/>
        </w:rPr>
        <w:t>total office and administrati</w:t>
      </w:r>
      <w:r>
        <w:rPr>
          <w:sz w:val="28"/>
          <w:szCs w:val="28"/>
          <w:lang w:val="en-US"/>
        </w:rPr>
        <w:t>ve expenses is slightly increased to RMB 4.56 million.</w:t>
      </w:r>
    </w:p>
    <w:p w14:paraId="5FB2ABE6" w14:textId="5C734E20" w:rsidR="005473D9" w:rsidRPr="00CB5675" w:rsidRDefault="005473D9" w:rsidP="005473D9">
      <w:pPr>
        <w:spacing w:line="360" w:lineRule="auto"/>
        <w:jc w:val="both"/>
        <w:rPr>
          <w:sz w:val="28"/>
          <w:szCs w:val="28"/>
          <w:lang w:val="en-US"/>
        </w:rPr>
      </w:pPr>
      <w:r>
        <w:rPr>
          <w:b/>
          <w:sz w:val="28"/>
          <w:szCs w:val="28"/>
          <w:lang w:val="en-US"/>
        </w:rPr>
        <w:lastRenderedPageBreak/>
        <w:t>Payroll Expenses</w:t>
      </w:r>
      <w:r w:rsidRPr="001100D8">
        <w:rPr>
          <w:b/>
          <w:sz w:val="28"/>
          <w:szCs w:val="28"/>
          <w:lang w:val="en-US"/>
        </w:rPr>
        <w:t xml:space="preserve">: </w:t>
      </w:r>
      <w:r w:rsidRPr="001100D8">
        <w:rPr>
          <w:sz w:val="28"/>
          <w:szCs w:val="28"/>
          <w:lang w:val="en-US"/>
        </w:rPr>
        <w:t>According</w:t>
      </w:r>
      <w:r>
        <w:rPr>
          <w:sz w:val="28"/>
          <w:szCs w:val="28"/>
          <w:lang w:val="en-US"/>
        </w:rPr>
        <w:t xml:space="preserve"> to the 2019 personnel planning,</w:t>
      </w:r>
      <w:r w:rsidRPr="006F2CD6">
        <w:t xml:space="preserve"> </w:t>
      </w:r>
      <w:r>
        <w:rPr>
          <w:sz w:val="28"/>
          <w:szCs w:val="28"/>
          <w:lang w:val="en-US"/>
        </w:rPr>
        <w:t xml:space="preserve">in view of the </w:t>
      </w:r>
      <w:r w:rsidR="00225239">
        <w:rPr>
          <w:sz w:val="28"/>
          <w:szCs w:val="28"/>
          <w:lang w:val="en-US"/>
        </w:rPr>
        <w:t xml:space="preserve">departure of </w:t>
      </w:r>
      <w:r>
        <w:rPr>
          <w:sz w:val="28"/>
          <w:szCs w:val="28"/>
          <w:lang w:val="en-US"/>
        </w:rPr>
        <w:t>two Managing Directors, the C</w:t>
      </w:r>
      <w:r w:rsidRPr="006F2CD6">
        <w:rPr>
          <w:sz w:val="28"/>
          <w:szCs w:val="28"/>
          <w:lang w:val="en-US"/>
        </w:rPr>
        <w:t xml:space="preserve">ompany plans to </w:t>
      </w:r>
      <w:r w:rsidR="00225239">
        <w:rPr>
          <w:sz w:val="28"/>
          <w:szCs w:val="28"/>
          <w:lang w:val="en-US"/>
        </w:rPr>
        <w:t>hire</w:t>
      </w:r>
      <w:r w:rsidR="00225239" w:rsidRPr="006F2CD6">
        <w:rPr>
          <w:sz w:val="28"/>
          <w:szCs w:val="28"/>
          <w:lang w:val="en-US"/>
        </w:rPr>
        <w:t xml:space="preserve"> </w:t>
      </w:r>
      <w:r w:rsidRPr="006F2CD6">
        <w:rPr>
          <w:sz w:val="28"/>
          <w:szCs w:val="28"/>
          <w:lang w:val="en-US"/>
        </w:rPr>
        <w:t xml:space="preserve">2 </w:t>
      </w:r>
      <w:r w:rsidR="00225239">
        <w:rPr>
          <w:sz w:val="28"/>
          <w:szCs w:val="28"/>
          <w:lang w:val="en-US"/>
        </w:rPr>
        <w:t xml:space="preserve">junior </w:t>
      </w:r>
      <w:r>
        <w:rPr>
          <w:sz w:val="28"/>
          <w:szCs w:val="28"/>
          <w:lang w:val="en-US"/>
        </w:rPr>
        <w:t xml:space="preserve">investment </w:t>
      </w:r>
      <w:r w:rsidR="00D677A3">
        <w:rPr>
          <w:sz w:val="28"/>
          <w:szCs w:val="28"/>
          <w:lang w:val="en-US"/>
        </w:rPr>
        <w:t xml:space="preserve">associates </w:t>
      </w:r>
      <w:r>
        <w:rPr>
          <w:sz w:val="28"/>
          <w:szCs w:val="28"/>
          <w:lang w:val="en-US"/>
        </w:rPr>
        <w:t>(</w:t>
      </w:r>
      <w:r w:rsidRPr="006F2CD6">
        <w:rPr>
          <w:sz w:val="28"/>
          <w:szCs w:val="28"/>
          <w:lang w:val="en-US"/>
        </w:rPr>
        <w:t>V</w:t>
      </w:r>
      <w:r>
        <w:rPr>
          <w:sz w:val="28"/>
          <w:szCs w:val="28"/>
          <w:lang w:val="en-US"/>
        </w:rPr>
        <w:t xml:space="preserve">ice </w:t>
      </w:r>
      <w:r w:rsidR="00D677A3">
        <w:rPr>
          <w:sz w:val="28"/>
          <w:szCs w:val="28"/>
          <w:lang w:val="en-US"/>
        </w:rPr>
        <w:t xml:space="preserve">President level </w:t>
      </w:r>
      <w:r>
        <w:rPr>
          <w:sz w:val="28"/>
          <w:szCs w:val="28"/>
          <w:lang w:val="en-US"/>
        </w:rPr>
        <w:t xml:space="preserve">or below). The </w:t>
      </w:r>
      <w:r w:rsidRPr="001100D8">
        <w:rPr>
          <w:sz w:val="28"/>
          <w:szCs w:val="28"/>
          <w:lang w:val="en-US"/>
        </w:rPr>
        <w:t xml:space="preserve">payroll </w:t>
      </w:r>
      <w:r>
        <w:rPr>
          <w:sz w:val="28"/>
          <w:szCs w:val="28"/>
          <w:lang w:val="en-US"/>
        </w:rPr>
        <w:t>expense</w:t>
      </w:r>
      <w:r w:rsidRPr="001100D8">
        <w:rPr>
          <w:sz w:val="28"/>
          <w:szCs w:val="28"/>
          <w:lang w:val="en-US"/>
        </w:rPr>
        <w:t xml:space="preserve"> wil</w:t>
      </w:r>
      <w:r>
        <w:rPr>
          <w:sz w:val="28"/>
          <w:szCs w:val="28"/>
          <w:lang w:val="en-US"/>
        </w:rPr>
        <w:t>l include fixed payroll expense</w:t>
      </w:r>
      <w:r w:rsidR="00D677A3">
        <w:rPr>
          <w:sz w:val="28"/>
          <w:szCs w:val="28"/>
          <w:lang w:val="en-US"/>
        </w:rPr>
        <w:t>s</w:t>
      </w:r>
      <w:r>
        <w:rPr>
          <w:sz w:val="28"/>
          <w:szCs w:val="28"/>
          <w:lang w:val="en-US"/>
        </w:rPr>
        <w:t xml:space="preserve"> of RMB 26.15</w:t>
      </w:r>
      <w:r w:rsidRPr="001100D8">
        <w:rPr>
          <w:sz w:val="28"/>
          <w:szCs w:val="28"/>
          <w:lang w:val="en-US"/>
        </w:rPr>
        <w:t xml:space="preserve"> million</w:t>
      </w:r>
      <w:r>
        <w:rPr>
          <w:sz w:val="28"/>
          <w:szCs w:val="28"/>
          <w:lang w:val="en-US"/>
        </w:rPr>
        <w:t xml:space="preserve"> and </w:t>
      </w:r>
      <w:r w:rsidR="00EC7D90">
        <w:rPr>
          <w:sz w:val="28"/>
          <w:szCs w:val="28"/>
          <w:lang w:val="en-US"/>
        </w:rPr>
        <w:t>employ</w:t>
      </w:r>
      <w:r w:rsidR="00407CB8">
        <w:rPr>
          <w:sz w:val="28"/>
          <w:szCs w:val="28"/>
          <w:lang w:val="en-US"/>
        </w:rPr>
        <w:t>ee benefits</w:t>
      </w:r>
      <w:r>
        <w:rPr>
          <w:sz w:val="28"/>
          <w:szCs w:val="28"/>
          <w:lang w:val="en-US"/>
        </w:rPr>
        <w:t xml:space="preserve"> of</w:t>
      </w:r>
      <w:r w:rsidR="00407CB8">
        <w:rPr>
          <w:sz w:val="28"/>
          <w:szCs w:val="28"/>
          <w:lang w:val="en-US"/>
        </w:rPr>
        <w:t xml:space="preserve"> </w:t>
      </w:r>
      <w:r>
        <w:rPr>
          <w:rFonts w:eastAsia="仿宋_GB2312"/>
          <w:bCs/>
          <w:sz w:val="28"/>
          <w:lang w:val="en-US"/>
        </w:rPr>
        <w:t xml:space="preserve">RMB </w:t>
      </w:r>
      <w:r>
        <w:rPr>
          <w:sz w:val="28"/>
          <w:szCs w:val="28"/>
          <w:lang w:val="en-US"/>
        </w:rPr>
        <w:t>1.22 million. The t</w:t>
      </w:r>
      <w:r w:rsidRPr="001100D8">
        <w:rPr>
          <w:sz w:val="28"/>
          <w:szCs w:val="28"/>
          <w:lang w:val="en-US"/>
        </w:rPr>
        <w:t>otal p</w:t>
      </w:r>
      <w:r>
        <w:rPr>
          <w:sz w:val="28"/>
          <w:szCs w:val="28"/>
          <w:lang w:val="en-US"/>
        </w:rPr>
        <w:t>ayroll expense</w:t>
      </w:r>
      <w:r w:rsidR="00D677A3">
        <w:rPr>
          <w:sz w:val="28"/>
          <w:szCs w:val="28"/>
          <w:lang w:val="en-US"/>
        </w:rPr>
        <w:t>s</w:t>
      </w:r>
      <w:r>
        <w:rPr>
          <w:sz w:val="28"/>
          <w:szCs w:val="28"/>
          <w:lang w:val="en-US"/>
        </w:rPr>
        <w:t xml:space="preserve"> will be R</w:t>
      </w:r>
      <w:r w:rsidR="00407CB8">
        <w:rPr>
          <w:sz w:val="28"/>
          <w:szCs w:val="28"/>
          <w:lang w:val="en-US"/>
        </w:rPr>
        <w:t>M</w:t>
      </w:r>
      <w:r>
        <w:rPr>
          <w:sz w:val="28"/>
          <w:szCs w:val="28"/>
          <w:lang w:val="en-US"/>
        </w:rPr>
        <w:t>B 27.37</w:t>
      </w:r>
      <w:r w:rsidRPr="001100D8">
        <w:rPr>
          <w:sz w:val="28"/>
          <w:szCs w:val="28"/>
          <w:lang w:val="en-US"/>
        </w:rPr>
        <w:t xml:space="preserve"> million.</w:t>
      </w:r>
    </w:p>
    <w:p w14:paraId="64797C4E" w14:textId="77777777" w:rsidR="005473D9" w:rsidRPr="00CB5675" w:rsidRDefault="005473D9" w:rsidP="005473D9">
      <w:pPr>
        <w:spacing w:line="360" w:lineRule="auto"/>
        <w:jc w:val="both"/>
        <w:rPr>
          <w:sz w:val="28"/>
          <w:szCs w:val="28"/>
          <w:lang w:val="en-US"/>
        </w:rPr>
      </w:pPr>
      <w:r>
        <w:rPr>
          <w:rFonts w:hint="eastAsia"/>
          <w:b/>
          <w:sz w:val="28"/>
          <w:szCs w:val="28"/>
          <w:lang w:val="en-US"/>
        </w:rPr>
        <w:t>Project Development E</w:t>
      </w:r>
      <w:r w:rsidRPr="001100D8">
        <w:rPr>
          <w:rFonts w:hint="eastAsia"/>
          <w:b/>
          <w:sz w:val="28"/>
          <w:szCs w:val="28"/>
          <w:lang w:val="en-US"/>
        </w:rPr>
        <w:t xml:space="preserve">xpenses: </w:t>
      </w:r>
      <w:r w:rsidRPr="001100D8">
        <w:rPr>
          <w:sz w:val="28"/>
          <w:szCs w:val="28"/>
          <w:lang w:val="en-US"/>
        </w:rPr>
        <w:t>project-related</w:t>
      </w:r>
      <w:r w:rsidRPr="001100D8">
        <w:rPr>
          <w:rFonts w:hint="eastAsia"/>
          <w:sz w:val="28"/>
          <w:szCs w:val="28"/>
          <w:lang w:val="en-US"/>
        </w:rPr>
        <w:t xml:space="preserve"> deal sourcing,</w:t>
      </w:r>
      <w:r w:rsidRPr="001100D8">
        <w:rPr>
          <w:sz w:val="28"/>
          <w:szCs w:val="28"/>
          <w:lang w:val="en-US"/>
        </w:rPr>
        <w:t xml:space="preserve"> due diligence, </w:t>
      </w:r>
      <w:r w:rsidRPr="001100D8">
        <w:rPr>
          <w:rFonts w:hint="eastAsia"/>
          <w:sz w:val="28"/>
          <w:szCs w:val="28"/>
          <w:lang w:val="en-US"/>
        </w:rPr>
        <w:t xml:space="preserve">business development expenses </w:t>
      </w:r>
      <w:r>
        <w:rPr>
          <w:rFonts w:hint="eastAsia"/>
          <w:sz w:val="28"/>
          <w:szCs w:val="28"/>
          <w:lang w:val="en-US"/>
        </w:rPr>
        <w:t>for 201</w:t>
      </w:r>
      <w:r>
        <w:rPr>
          <w:sz w:val="28"/>
          <w:szCs w:val="28"/>
          <w:lang w:val="en-US"/>
        </w:rPr>
        <w:t>9</w:t>
      </w:r>
      <w:r>
        <w:rPr>
          <w:rFonts w:hint="eastAsia"/>
          <w:sz w:val="28"/>
          <w:szCs w:val="28"/>
          <w:lang w:val="en-US"/>
        </w:rPr>
        <w:t xml:space="preserve"> is budgeted at </w:t>
      </w:r>
      <w:r>
        <w:rPr>
          <w:sz w:val="28"/>
          <w:szCs w:val="28"/>
          <w:lang w:val="en-US"/>
        </w:rPr>
        <w:t>RMB 4.8</w:t>
      </w:r>
      <w:r w:rsidRPr="001100D8">
        <w:rPr>
          <w:rFonts w:hint="eastAsia"/>
          <w:sz w:val="28"/>
          <w:szCs w:val="28"/>
          <w:lang w:val="en-US"/>
        </w:rPr>
        <w:t xml:space="preserve"> million</w:t>
      </w:r>
      <w:r>
        <w:rPr>
          <w:rFonts w:hint="eastAsia"/>
          <w:sz w:val="28"/>
          <w:szCs w:val="28"/>
          <w:lang w:val="en-US"/>
        </w:rPr>
        <w:t xml:space="preserve">, which is </w:t>
      </w:r>
      <w:r>
        <w:rPr>
          <w:sz w:val="28"/>
          <w:szCs w:val="28"/>
          <w:lang w:val="en-US"/>
        </w:rPr>
        <w:t>in line with the 2018 actual expenses.</w:t>
      </w:r>
    </w:p>
    <w:p w14:paraId="23A2AFCD" w14:textId="0CB5BC0C" w:rsidR="005473D9" w:rsidRDefault="00D677A3" w:rsidP="005473D9">
      <w:pPr>
        <w:spacing w:line="360" w:lineRule="auto"/>
        <w:jc w:val="both"/>
        <w:rPr>
          <w:sz w:val="28"/>
          <w:szCs w:val="28"/>
          <w:lang w:val="en-US"/>
        </w:rPr>
      </w:pPr>
      <w:r>
        <w:rPr>
          <w:b/>
          <w:sz w:val="28"/>
          <w:szCs w:val="28"/>
          <w:lang w:val="en-US"/>
        </w:rPr>
        <w:t>Project</w:t>
      </w:r>
      <w:r w:rsidRPr="00EE1AD7">
        <w:rPr>
          <w:b/>
          <w:sz w:val="28"/>
          <w:szCs w:val="28"/>
          <w:lang w:val="en-US"/>
        </w:rPr>
        <w:t xml:space="preserve"> </w:t>
      </w:r>
      <w:r w:rsidR="00102190">
        <w:rPr>
          <w:b/>
          <w:sz w:val="28"/>
          <w:szCs w:val="28"/>
          <w:lang w:val="en-US"/>
        </w:rPr>
        <w:t>Hanson</w:t>
      </w:r>
      <w:r w:rsidRPr="00EE1AD7">
        <w:rPr>
          <w:b/>
          <w:sz w:val="28"/>
          <w:szCs w:val="28"/>
          <w:lang w:val="en-US"/>
        </w:rPr>
        <w:t xml:space="preserve"> </w:t>
      </w:r>
      <w:r w:rsidR="005473D9" w:rsidRPr="00EE1AD7">
        <w:rPr>
          <w:b/>
          <w:sz w:val="28"/>
          <w:szCs w:val="28"/>
          <w:lang w:val="en-US"/>
        </w:rPr>
        <w:t>Interest Expense:</w:t>
      </w:r>
      <w:r w:rsidR="005473D9" w:rsidRPr="00CB5675">
        <w:rPr>
          <w:sz w:val="28"/>
          <w:szCs w:val="28"/>
          <w:lang w:val="en-US"/>
        </w:rPr>
        <w:t xml:space="preserve"> </w:t>
      </w:r>
      <w:proofErr w:type="gramStart"/>
      <w:r w:rsidR="005473D9" w:rsidRPr="00CB5675">
        <w:rPr>
          <w:sz w:val="28"/>
          <w:szCs w:val="28"/>
          <w:lang w:val="en-US"/>
        </w:rPr>
        <w:t>the</w:t>
      </w:r>
      <w:proofErr w:type="gramEnd"/>
      <w:r w:rsidR="005473D9" w:rsidRPr="00CB5675">
        <w:rPr>
          <w:sz w:val="28"/>
          <w:szCs w:val="28"/>
          <w:lang w:val="en-US"/>
        </w:rPr>
        <w:t xml:space="preserve"> Company expects to pay </w:t>
      </w:r>
      <w:r w:rsidR="005473D9">
        <w:rPr>
          <w:sz w:val="28"/>
          <w:szCs w:val="28"/>
          <w:lang w:val="en-US"/>
        </w:rPr>
        <w:t xml:space="preserve">an </w:t>
      </w:r>
      <w:r w:rsidR="005473D9" w:rsidRPr="00CB5675">
        <w:rPr>
          <w:sz w:val="28"/>
          <w:szCs w:val="28"/>
          <w:lang w:val="en-US"/>
        </w:rPr>
        <w:t>i</w:t>
      </w:r>
      <w:r w:rsidR="005473D9">
        <w:rPr>
          <w:sz w:val="28"/>
          <w:szCs w:val="28"/>
          <w:lang w:val="en-US"/>
        </w:rPr>
        <w:t>nterest of RMB 15</w:t>
      </w:r>
      <w:r w:rsidR="005473D9" w:rsidRPr="00CB5675">
        <w:rPr>
          <w:sz w:val="28"/>
          <w:szCs w:val="28"/>
          <w:lang w:val="en-US"/>
        </w:rPr>
        <w:t xml:space="preserve"> million</w:t>
      </w:r>
      <w:r w:rsidR="005473D9">
        <w:rPr>
          <w:sz w:val="28"/>
          <w:szCs w:val="28"/>
          <w:lang w:val="en-US"/>
        </w:rPr>
        <w:t xml:space="preserve"> in 2019 (estimated interest expense is</w:t>
      </w:r>
      <w:r w:rsidR="005473D9" w:rsidRPr="007E757F">
        <w:rPr>
          <w:sz w:val="28"/>
          <w:szCs w:val="28"/>
          <w:lang w:val="en-US"/>
        </w:rPr>
        <w:t xml:space="preserve"> </w:t>
      </w:r>
      <w:r>
        <w:rPr>
          <w:sz w:val="28"/>
          <w:szCs w:val="28"/>
          <w:lang w:val="en-US"/>
        </w:rPr>
        <w:t>lower</w:t>
      </w:r>
      <w:r w:rsidRPr="007E757F">
        <w:rPr>
          <w:sz w:val="28"/>
          <w:szCs w:val="28"/>
          <w:lang w:val="en-US"/>
        </w:rPr>
        <w:t xml:space="preserve"> </w:t>
      </w:r>
      <w:r w:rsidR="005473D9">
        <w:rPr>
          <w:sz w:val="28"/>
          <w:szCs w:val="28"/>
          <w:lang w:val="en-US"/>
        </w:rPr>
        <w:t>compared with the previous year</w:t>
      </w:r>
      <w:r>
        <w:rPr>
          <w:sz w:val="28"/>
          <w:szCs w:val="28"/>
          <w:lang w:val="en-US"/>
        </w:rPr>
        <w:t xml:space="preserve"> taking into account expected dividend payments which would offset the interest expense payable to </w:t>
      </w:r>
      <w:r w:rsidR="00102190">
        <w:rPr>
          <w:sz w:val="28"/>
          <w:szCs w:val="28"/>
          <w:lang w:val="en-US"/>
        </w:rPr>
        <w:t>the Bank of China</w:t>
      </w:r>
      <w:r w:rsidR="005473D9">
        <w:rPr>
          <w:sz w:val="28"/>
          <w:szCs w:val="28"/>
          <w:lang w:val="en-US"/>
        </w:rPr>
        <w:t>).</w:t>
      </w:r>
    </w:p>
    <w:p w14:paraId="333F21CB" w14:textId="7A99C438" w:rsidR="005473D9" w:rsidRDefault="005473D9" w:rsidP="005473D9">
      <w:pPr>
        <w:spacing w:line="360" w:lineRule="auto"/>
        <w:jc w:val="both"/>
        <w:rPr>
          <w:sz w:val="28"/>
          <w:szCs w:val="28"/>
          <w:lang w:val="en-US"/>
        </w:rPr>
      </w:pPr>
      <w:r>
        <w:rPr>
          <w:b/>
          <w:sz w:val="28"/>
          <w:szCs w:val="28"/>
          <w:lang w:val="en-US"/>
        </w:rPr>
        <w:t>Deal-Related Fundraising Agency/Referral Fees and other P</w:t>
      </w:r>
      <w:r w:rsidRPr="001100D8">
        <w:rPr>
          <w:b/>
          <w:sz w:val="28"/>
          <w:szCs w:val="28"/>
          <w:lang w:val="en-US"/>
        </w:rPr>
        <w:t>repayments:</w:t>
      </w:r>
      <w:r>
        <w:rPr>
          <w:sz w:val="28"/>
          <w:szCs w:val="28"/>
          <w:lang w:val="en-US"/>
        </w:rPr>
        <w:t xml:space="preserve"> RMB 5.31</w:t>
      </w:r>
      <w:r w:rsidRPr="001100D8">
        <w:rPr>
          <w:sz w:val="28"/>
          <w:szCs w:val="28"/>
          <w:lang w:val="en-US"/>
        </w:rPr>
        <w:t xml:space="preserve"> million prepayme</w:t>
      </w:r>
      <w:r>
        <w:rPr>
          <w:sz w:val="28"/>
          <w:szCs w:val="28"/>
          <w:lang w:val="en-US"/>
        </w:rPr>
        <w:t xml:space="preserve">nt to CATL, our </w:t>
      </w:r>
      <w:r w:rsidR="00833D3E">
        <w:rPr>
          <w:sz w:val="28"/>
          <w:szCs w:val="28"/>
          <w:lang w:val="en-US"/>
        </w:rPr>
        <w:t>C</w:t>
      </w:r>
      <w:r>
        <w:rPr>
          <w:sz w:val="28"/>
          <w:szCs w:val="28"/>
          <w:lang w:val="en-US"/>
        </w:rPr>
        <w:t>o-GP in</w:t>
      </w:r>
      <w:r w:rsidRPr="001100D8">
        <w:rPr>
          <w:sz w:val="28"/>
          <w:szCs w:val="28"/>
          <w:lang w:val="en-US"/>
        </w:rPr>
        <w:t xml:space="preserve"> </w:t>
      </w:r>
      <w:r>
        <w:rPr>
          <w:sz w:val="28"/>
          <w:szCs w:val="28"/>
          <w:lang w:val="en-US"/>
        </w:rPr>
        <w:t xml:space="preserve">Project </w:t>
      </w:r>
      <w:r w:rsidR="006D44C5">
        <w:rPr>
          <w:sz w:val="28"/>
          <w:szCs w:val="28"/>
          <w:lang w:val="en-US"/>
        </w:rPr>
        <w:t>Sinopec</w:t>
      </w:r>
      <w:r w:rsidR="00E91B23">
        <w:rPr>
          <w:sz w:val="28"/>
          <w:szCs w:val="28"/>
          <w:lang w:val="en-US"/>
        </w:rPr>
        <w:t>.</w:t>
      </w:r>
    </w:p>
    <w:p w14:paraId="180025D1" w14:textId="32FBD700" w:rsidR="005473D9" w:rsidRPr="009A2AEF" w:rsidRDefault="00D677A3" w:rsidP="005473D9">
      <w:pPr>
        <w:spacing w:line="360" w:lineRule="auto"/>
        <w:jc w:val="both"/>
        <w:rPr>
          <w:rFonts w:eastAsia="仿宋_GB2312"/>
          <w:bCs/>
          <w:sz w:val="28"/>
          <w:szCs w:val="28"/>
          <w:lang w:val="en-US"/>
        </w:rPr>
      </w:pPr>
      <w:r>
        <w:rPr>
          <w:rFonts w:eastAsia="仿宋_GB2312"/>
          <w:bCs/>
          <w:sz w:val="28"/>
          <w:szCs w:val="28"/>
          <w:lang w:val="en-US"/>
        </w:rPr>
        <w:t>Expenses and</w:t>
      </w:r>
      <w:r w:rsidR="005473D9" w:rsidRPr="009A2AEF">
        <w:rPr>
          <w:rFonts w:eastAsia="仿宋_GB2312"/>
          <w:bCs/>
          <w:sz w:val="28"/>
          <w:szCs w:val="28"/>
          <w:lang w:val="en-US"/>
        </w:rPr>
        <w:t xml:space="preserve"> fees for lawyers, auditors, consultants and SPV establishment and maintenance is RMB 1.6 million. The software fee is RMB 1.2 million. It is estimated that all loans will be returned in the middle of 2019, and the loan interest expense</w:t>
      </w:r>
      <w:r w:rsidR="00833D3E" w:rsidRPr="009A2AEF">
        <w:rPr>
          <w:rFonts w:eastAsia="仿宋_GB2312"/>
          <w:bCs/>
          <w:sz w:val="28"/>
          <w:szCs w:val="28"/>
          <w:lang w:val="en-US"/>
        </w:rPr>
        <w:t>s</w:t>
      </w:r>
      <w:r w:rsidR="005473D9" w:rsidRPr="009A2AEF">
        <w:rPr>
          <w:rFonts w:eastAsia="仿宋_GB2312"/>
          <w:bCs/>
          <w:sz w:val="28"/>
          <w:szCs w:val="28"/>
          <w:lang w:val="en-US"/>
        </w:rPr>
        <w:t xml:space="preserve"> will be RMB 540,000. The board of directors and committee costs is RMB 300,000.</w:t>
      </w:r>
    </w:p>
    <w:tbl>
      <w:tblPr>
        <w:tblW w:w="0" w:type="auto"/>
        <w:jc w:val="center"/>
        <w:tblLook w:val="04A0" w:firstRow="1" w:lastRow="0" w:firstColumn="1" w:lastColumn="0" w:noHBand="0" w:noVBand="1"/>
      </w:tblPr>
      <w:tblGrid>
        <w:gridCol w:w="4136"/>
        <w:gridCol w:w="2436"/>
      </w:tblGrid>
      <w:tr w:rsidR="00FA1023" w:rsidRPr="00FA1023" w14:paraId="02A66EE9" w14:textId="77777777" w:rsidTr="009D1752">
        <w:trPr>
          <w:trHeight w:val="659"/>
          <w:jc w:val="center"/>
        </w:trPr>
        <w:tc>
          <w:tcPr>
            <w:tcW w:w="6572" w:type="dxa"/>
            <w:gridSpan w:val="2"/>
            <w:shd w:val="clear" w:color="auto" w:fill="auto"/>
            <w:noWrap/>
            <w:vAlign w:val="center"/>
            <w:hideMark/>
          </w:tcPr>
          <w:p w14:paraId="5861354F" w14:textId="2446F74F" w:rsidR="00FA1023" w:rsidRDefault="00FA1023" w:rsidP="009D1752">
            <w:pPr>
              <w:ind w:firstLineChars="200" w:firstLine="562"/>
              <w:jc w:val="center"/>
              <w:rPr>
                <w:rFonts w:eastAsia="华文楷体"/>
                <w:color w:val="000000"/>
                <w:sz w:val="22"/>
                <w:szCs w:val="22"/>
                <w:lang w:val="en-US"/>
              </w:rPr>
            </w:pPr>
            <w:r w:rsidRPr="009D1752">
              <w:rPr>
                <w:b/>
                <w:color w:val="000000"/>
                <w:sz w:val="28"/>
                <w:szCs w:val="28"/>
                <w:lang w:val="en-US"/>
              </w:rPr>
              <w:lastRenderedPageBreak/>
              <w:t>2019 annual budget expenditure</w:t>
            </w:r>
          </w:p>
          <w:p w14:paraId="1B5506C7" w14:textId="5DA32F7A" w:rsidR="00FA1023" w:rsidRPr="009D1752" w:rsidRDefault="00FA1023" w:rsidP="009D1752">
            <w:pPr>
              <w:ind w:firstLineChars="200" w:firstLine="400"/>
              <w:jc w:val="center"/>
              <w:rPr>
                <w:color w:val="000000"/>
                <w:sz w:val="20"/>
                <w:szCs w:val="20"/>
                <w:lang w:val="en-US"/>
              </w:rPr>
            </w:pPr>
            <w:r w:rsidRPr="009D1752">
              <w:rPr>
                <w:color w:val="000000"/>
                <w:sz w:val="20"/>
                <w:szCs w:val="20"/>
                <w:lang w:val="en-US"/>
              </w:rPr>
              <w:t>Unit: CNY ‘000</w:t>
            </w:r>
          </w:p>
          <w:p w14:paraId="27F1CF32" w14:textId="77777777" w:rsidR="00FA1023" w:rsidRPr="009D1752" w:rsidRDefault="00FA1023" w:rsidP="009A2AEF">
            <w:pPr>
              <w:ind w:firstLineChars="200" w:firstLine="440"/>
              <w:jc w:val="both"/>
              <w:rPr>
                <w:rFonts w:eastAsia="华文楷体"/>
                <w:b/>
                <w:bCs/>
                <w:color w:val="000000"/>
                <w:sz w:val="22"/>
                <w:szCs w:val="22"/>
                <w:lang w:val="en-US"/>
              </w:rPr>
            </w:pPr>
          </w:p>
        </w:tc>
      </w:tr>
      <w:tr w:rsidR="00FA1023" w:rsidRPr="00FA1023" w14:paraId="49105596" w14:textId="77777777" w:rsidTr="009D1752">
        <w:trPr>
          <w:trHeight w:val="211"/>
          <w:jc w:val="center"/>
        </w:trPr>
        <w:tc>
          <w:tcPr>
            <w:tcW w:w="4136" w:type="dxa"/>
            <w:shd w:val="clear" w:color="auto" w:fill="auto"/>
            <w:noWrap/>
            <w:vAlign w:val="center"/>
            <w:hideMark/>
          </w:tcPr>
          <w:p w14:paraId="45F98788" w14:textId="77777777" w:rsidR="00FA1023" w:rsidRPr="009D1752" w:rsidRDefault="00FA1023" w:rsidP="009A2AEF">
            <w:pPr>
              <w:jc w:val="both"/>
              <w:rPr>
                <w:rFonts w:eastAsia="华文楷体"/>
                <w:b/>
                <w:bCs/>
                <w:color w:val="000000"/>
                <w:sz w:val="22"/>
                <w:szCs w:val="22"/>
                <w:lang w:val="en-US"/>
              </w:rPr>
            </w:pPr>
            <w:r w:rsidRPr="009D1752">
              <w:rPr>
                <w:b/>
                <w:bCs/>
                <w:color w:val="000000"/>
                <w:sz w:val="21"/>
                <w:szCs w:val="21"/>
                <w:lang w:val="en-US"/>
              </w:rPr>
              <w:t>1. Office &amp; Admin Expense</w:t>
            </w:r>
          </w:p>
        </w:tc>
        <w:tc>
          <w:tcPr>
            <w:tcW w:w="2436" w:type="dxa"/>
            <w:shd w:val="clear" w:color="auto" w:fill="auto"/>
            <w:noWrap/>
            <w:vAlign w:val="center"/>
            <w:hideMark/>
          </w:tcPr>
          <w:p w14:paraId="10D150AA" w14:textId="72E2FEE5" w:rsidR="00FA1023" w:rsidRPr="009D1752" w:rsidRDefault="00FA1023" w:rsidP="009A2AEF">
            <w:pPr>
              <w:jc w:val="center"/>
              <w:rPr>
                <w:b/>
                <w:color w:val="000000"/>
                <w:kern w:val="2"/>
                <w:sz w:val="21"/>
                <w:szCs w:val="21"/>
                <w:lang w:val="en-US"/>
              </w:rPr>
            </w:pPr>
          </w:p>
        </w:tc>
      </w:tr>
      <w:tr w:rsidR="0072274C" w:rsidRPr="00FA1023" w14:paraId="78F268F3" w14:textId="77777777" w:rsidTr="009D1752">
        <w:trPr>
          <w:trHeight w:val="159"/>
          <w:jc w:val="center"/>
        </w:trPr>
        <w:tc>
          <w:tcPr>
            <w:tcW w:w="4136" w:type="dxa"/>
            <w:shd w:val="clear" w:color="auto" w:fill="auto"/>
            <w:noWrap/>
            <w:vAlign w:val="center"/>
          </w:tcPr>
          <w:p w14:paraId="38F86B77" w14:textId="6ECF0CAB" w:rsidR="0072274C" w:rsidRPr="009D1752" w:rsidRDefault="0072274C" w:rsidP="009A2AEF">
            <w:pPr>
              <w:jc w:val="both"/>
              <w:rPr>
                <w:bCs/>
                <w:color w:val="000000"/>
                <w:sz w:val="21"/>
                <w:szCs w:val="21"/>
                <w:lang w:val="en-US"/>
              </w:rPr>
            </w:pPr>
            <w:r w:rsidRPr="009D1752">
              <w:rPr>
                <w:bCs/>
                <w:color w:val="000000"/>
                <w:sz w:val="21"/>
                <w:szCs w:val="21"/>
                <w:lang w:val="en-US"/>
              </w:rPr>
              <w:t>Office rental</w:t>
            </w:r>
          </w:p>
        </w:tc>
        <w:tc>
          <w:tcPr>
            <w:tcW w:w="2436" w:type="dxa"/>
            <w:shd w:val="clear" w:color="auto" w:fill="auto"/>
            <w:noWrap/>
            <w:vAlign w:val="center"/>
          </w:tcPr>
          <w:p w14:paraId="2D3F8587" w14:textId="028AD608" w:rsidR="0072274C" w:rsidRPr="009D1752" w:rsidRDefault="0072274C" w:rsidP="009A2AEF">
            <w:pPr>
              <w:jc w:val="center"/>
              <w:rPr>
                <w:color w:val="000000"/>
                <w:kern w:val="2"/>
                <w:sz w:val="21"/>
                <w:szCs w:val="21"/>
                <w:lang w:val="en-US"/>
              </w:rPr>
            </w:pPr>
            <w:r w:rsidRPr="009D1752">
              <w:rPr>
                <w:color w:val="000000"/>
                <w:kern w:val="2"/>
                <w:sz w:val="21"/>
                <w:szCs w:val="21"/>
                <w:lang w:val="en-US"/>
              </w:rPr>
              <w:t>3,600</w:t>
            </w:r>
          </w:p>
        </w:tc>
      </w:tr>
      <w:tr w:rsidR="0072274C" w:rsidRPr="00FA1023" w14:paraId="15DF469A" w14:textId="77777777" w:rsidTr="009D1752">
        <w:trPr>
          <w:trHeight w:val="70"/>
          <w:jc w:val="center"/>
        </w:trPr>
        <w:tc>
          <w:tcPr>
            <w:tcW w:w="4136" w:type="dxa"/>
            <w:shd w:val="clear" w:color="auto" w:fill="auto"/>
            <w:noWrap/>
            <w:vAlign w:val="center"/>
          </w:tcPr>
          <w:p w14:paraId="2B038133" w14:textId="4026EF49" w:rsidR="0072274C" w:rsidRPr="009D1752" w:rsidRDefault="0072274C" w:rsidP="009A2AEF">
            <w:pPr>
              <w:jc w:val="both"/>
              <w:rPr>
                <w:bCs/>
                <w:color w:val="000000"/>
                <w:sz w:val="21"/>
                <w:szCs w:val="21"/>
                <w:lang w:val="en-US"/>
              </w:rPr>
            </w:pPr>
            <w:r w:rsidRPr="009D1752">
              <w:rPr>
                <w:bCs/>
                <w:color w:val="000000"/>
                <w:sz w:val="21"/>
                <w:szCs w:val="21"/>
                <w:lang w:val="en-US"/>
              </w:rPr>
              <w:t>Admin expense</w:t>
            </w:r>
          </w:p>
        </w:tc>
        <w:tc>
          <w:tcPr>
            <w:tcW w:w="2436" w:type="dxa"/>
            <w:shd w:val="clear" w:color="auto" w:fill="auto"/>
            <w:noWrap/>
            <w:vAlign w:val="center"/>
          </w:tcPr>
          <w:p w14:paraId="4080523A" w14:textId="2B4639DF" w:rsidR="0072274C" w:rsidRPr="009D1752" w:rsidRDefault="0072274C" w:rsidP="009A2AEF">
            <w:pPr>
              <w:jc w:val="center"/>
              <w:rPr>
                <w:color w:val="000000"/>
                <w:kern w:val="2"/>
                <w:sz w:val="21"/>
                <w:szCs w:val="21"/>
                <w:lang w:val="en-US"/>
              </w:rPr>
            </w:pPr>
            <w:r w:rsidRPr="009D1752">
              <w:rPr>
                <w:color w:val="000000"/>
                <w:kern w:val="2"/>
                <w:sz w:val="21"/>
                <w:szCs w:val="21"/>
                <w:lang w:val="en-US"/>
              </w:rPr>
              <w:t>960</w:t>
            </w:r>
          </w:p>
        </w:tc>
      </w:tr>
      <w:tr w:rsidR="0072274C" w:rsidRPr="00FA1023" w14:paraId="55A84B5C" w14:textId="77777777" w:rsidTr="009D1752">
        <w:trPr>
          <w:trHeight w:val="97"/>
          <w:jc w:val="center"/>
        </w:trPr>
        <w:tc>
          <w:tcPr>
            <w:tcW w:w="4136" w:type="dxa"/>
            <w:shd w:val="clear" w:color="auto" w:fill="auto"/>
            <w:noWrap/>
            <w:vAlign w:val="center"/>
          </w:tcPr>
          <w:p w14:paraId="45E2ABBB" w14:textId="3EFEC675" w:rsidR="0072274C" w:rsidRPr="009D1752" w:rsidRDefault="0072274C" w:rsidP="009A2AEF">
            <w:pPr>
              <w:jc w:val="both"/>
              <w:rPr>
                <w:b/>
                <w:bCs/>
                <w:color w:val="000000"/>
                <w:sz w:val="21"/>
                <w:szCs w:val="21"/>
                <w:lang w:val="en-US"/>
              </w:rPr>
            </w:pPr>
            <w:r>
              <w:rPr>
                <w:b/>
                <w:bCs/>
                <w:color w:val="000000"/>
                <w:sz w:val="21"/>
                <w:szCs w:val="21"/>
                <w:lang w:val="en-US"/>
              </w:rPr>
              <w:t>Subt</w:t>
            </w:r>
            <w:r w:rsidRPr="009D1752">
              <w:rPr>
                <w:b/>
                <w:bCs/>
                <w:color w:val="000000"/>
                <w:sz w:val="21"/>
                <w:szCs w:val="21"/>
                <w:lang w:val="en-US"/>
              </w:rPr>
              <w:t>otal Office &amp; Admin Expense</w:t>
            </w:r>
          </w:p>
        </w:tc>
        <w:tc>
          <w:tcPr>
            <w:tcW w:w="2436" w:type="dxa"/>
            <w:shd w:val="clear" w:color="auto" w:fill="auto"/>
            <w:noWrap/>
            <w:vAlign w:val="center"/>
          </w:tcPr>
          <w:p w14:paraId="23E2FA47" w14:textId="095981BE" w:rsidR="0072274C" w:rsidRPr="0072274C" w:rsidRDefault="0072274C" w:rsidP="009A2AEF">
            <w:pPr>
              <w:jc w:val="center"/>
              <w:rPr>
                <w:color w:val="000000"/>
                <w:kern w:val="2"/>
                <w:sz w:val="21"/>
                <w:szCs w:val="21"/>
                <w:lang w:val="en-US"/>
              </w:rPr>
            </w:pPr>
            <w:r w:rsidRPr="00495E6B">
              <w:rPr>
                <w:b/>
                <w:color w:val="000000"/>
                <w:kern w:val="2"/>
                <w:sz w:val="21"/>
                <w:szCs w:val="21"/>
                <w:lang w:val="en-US"/>
              </w:rPr>
              <w:t>4,560</w:t>
            </w:r>
          </w:p>
        </w:tc>
      </w:tr>
      <w:tr w:rsidR="00FA1023" w:rsidRPr="00FA1023" w14:paraId="6BAB1FAB" w14:textId="77777777" w:rsidTr="009D1752">
        <w:trPr>
          <w:trHeight w:val="270"/>
          <w:jc w:val="center"/>
        </w:trPr>
        <w:tc>
          <w:tcPr>
            <w:tcW w:w="4136" w:type="dxa"/>
            <w:shd w:val="clear" w:color="auto" w:fill="auto"/>
            <w:noWrap/>
            <w:vAlign w:val="center"/>
            <w:hideMark/>
          </w:tcPr>
          <w:p w14:paraId="12B02E71" w14:textId="518A62D9" w:rsidR="00FA1023" w:rsidRPr="009D1752" w:rsidRDefault="00FA1023" w:rsidP="009A2AEF">
            <w:pPr>
              <w:jc w:val="both"/>
              <w:rPr>
                <w:rFonts w:eastAsia="华文楷体"/>
                <w:b/>
                <w:bCs/>
                <w:color w:val="000000"/>
                <w:sz w:val="22"/>
                <w:szCs w:val="22"/>
                <w:lang w:val="en-US"/>
              </w:rPr>
            </w:pPr>
            <w:r w:rsidRPr="009D1752">
              <w:rPr>
                <w:b/>
                <w:bCs/>
                <w:color w:val="000000"/>
                <w:sz w:val="21"/>
                <w:szCs w:val="21"/>
                <w:lang w:val="en-US"/>
              </w:rPr>
              <w:t>2. Payroll Cost</w:t>
            </w:r>
          </w:p>
        </w:tc>
        <w:tc>
          <w:tcPr>
            <w:tcW w:w="2436" w:type="dxa"/>
            <w:shd w:val="clear" w:color="auto" w:fill="auto"/>
            <w:noWrap/>
            <w:vAlign w:val="center"/>
            <w:hideMark/>
          </w:tcPr>
          <w:p w14:paraId="0BF25B74" w14:textId="77777777" w:rsidR="00FA1023" w:rsidRPr="009D1752" w:rsidRDefault="00FA1023" w:rsidP="009A2AEF">
            <w:pPr>
              <w:jc w:val="center"/>
              <w:rPr>
                <w:color w:val="000000"/>
                <w:kern w:val="2"/>
                <w:sz w:val="21"/>
                <w:szCs w:val="21"/>
                <w:lang w:val="en-US"/>
              </w:rPr>
            </w:pPr>
          </w:p>
        </w:tc>
      </w:tr>
      <w:tr w:rsidR="00FA1023" w:rsidRPr="00FA1023" w14:paraId="61ADB54D" w14:textId="77777777" w:rsidTr="009D1752">
        <w:trPr>
          <w:trHeight w:val="270"/>
          <w:jc w:val="center"/>
        </w:trPr>
        <w:tc>
          <w:tcPr>
            <w:tcW w:w="4136" w:type="dxa"/>
            <w:shd w:val="clear" w:color="auto" w:fill="auto"/>
            <w:noWrap/>
            <w:vAlign w:val="center"/>
            <w:hideMark/>
          </w:tcPr>
          <w:p w14:paraId="1EEADB9C" w14:textId="77777777" w:rsidR="00FA1023" w:rsidRPr="009D1752" w:rsidRDefault="00FA1023" w:rsidP="009A2AEF">
            <w:pPr>
              <w:jc w:val="both"/>
              <w:rPr>
                <w:rFonts w:eastAsia="华文楷体"/>
                <w:color w:val="000000"/>
                <w:sz w:val="22"/>
                <w:szCs w:val="22"/>
                <w:lang w:val="en-US"/>
              </w:rPr>
            </w:pPr>
            <w:r w:rsidRPr="009D1752">
              <w:rPr>
                <w:color w:val="000000"/>
                <w:sz w:val="21"/>
                <w:szCs w:val="21"/>
                <w:lang w:val="en-US"/>
              </w:rPr>
              <w:t>Basic Payroll and Staff Insurance</w:t>
            </w:r>
          </w:p>
        </w:tc>
        <w:tc>
          <w:tcPr>
            <w:tcW w:w="2436" w:type="dxa"/>
            <w:shd w:val="clear" w:color="auto" w:fill="auto"/>
            <w:noWrap/>
            <w:vAlign w:val="center"/>
            <w:hideMark/>
          </w:tcPr>
          <w:p w14:paraId="32F7A625" w14:textId="77777777" w:rsidR="00FA1023" w:rsidRPr="009D1752" w:rsidRDefault="00FA1023" w:rsidP="009A2AEF">
            <w:pPr>
              <w:jc w:val="center"/>
              <w:rPr>
                <w:color w:val="000000"/>
                <w:kern w:val="2"/>
                <w:sz w:val="21"/>
                <w:szCs w:val="21"/>
                <w:lang w:val="en-US"/>
              </w:rPr>
            </w:pPr>
            <w:r w:rsidRPr="009D1752">
              <w:rPr>
                <w:color w:val="000000"/>
                <w:kern w:val="2"/>
                <w:sz w:val="21"/>
                <w:szCs w:val="21"/>
                <w:lang w:val="en-US"/>
              </w:rPr>
              <w:t>26,150</w:t>
            </w:r>
          </w:p>
        </w:tc>
      </w:tr>
      <w:tr w:rsidR="00FA1023" w:rsidRPr="00FA1023" w14:paraId="7006717A" w14:textId="77777777" w:rsidTr="009D1752">
        <w:trPr>
          <w:trHeight w:val="324"/>
          <w:jc w:val="center"/>
        </w:trPr>
        <w:tc>
          <w:tcPr>
            <w:tcW w:w="4136" w:type="dxa"/>
            <w:shd w:val="clear" w:color="auto" w:fill="auto"/>
            <w:noWrap/>
            <w:vAlign w:val="center"/>
            <w:hideMark/>
          </w:tcPr>
          <w:p w14:paraId="60113F56" w14:textId="05C42AC1" w:rsidR="00FA1023" w:rsidRPr="009D1752" w:rsidRDefault="00FA1023" w:rsidP="009A2AEF">
            <w:pPr>
              <w:jc w:val="both"/>
              <w:rPr>
                <w:rFonts w:eastAsia="华文楷体"/>
                <w:color w:val="000000"/>
                <w:sz w:val="22"/>
                <w:szCs w:val="22"/>
                <w:lang w:val="en-US"/>
              </w:rPr>
            </w:pPr>
            <w:r w:rsidRPr="009D1752">
              <w:rPr>
                <w:color w:val="000000"/>
                <w:sz w:val="21"/>
                <w:szCs w:val="21"/>
                <w:lang w:val="en-US"/>
              </w:rPr>
              <w:t>Staff welfare</w:t>
            </w:r>
          </w:p>
        </w:tc>
        <w:tc>
          <w:tcPr>
            <w:tcW w:w="2436" w:type="dxa"/>
            <w:shd w:val="clear" w:color="auto" w:fill="auto"/>
            <w:noWrap/>
            <w:vAlign w:val="center"/>
            <w:hideMark/>
          </w:tcPr>
          <w:p w14:paraId="10B7A375" w14:textId="77777777" w:rsidR="00FA1023" w:rsidRPr="009D1752" w:rsidRDefault="00FA1023" w:rsidP="009A2AEF">
            <w:pPr>
              <w:jc w:val="center"/>
              <w:rPr>
                <w:color w:val="000000"/>
                <w:kern w:val="2"/>
                <w:sz w:val="21"/>
                <w:szCs w:val="21"/>
                <w:lang w:val="en-US"/>
              </w:rPr>
            </w:pPr>
            <w:r w:rsidRPr="009D1752">
              <w:rPr>
                <w:color w:val="000000"/>
                <w:kern w:val="2"/>
                <w:sz w:val="21"/>
                <w:szCs w:val="21"/>
                <w:lang w:val="en-US"/>
              </w:rPr>
              <w:t>1,220</w:t>
            </w:r>
          </w:p>
        </w:tc>
      </w:tr>
      <w:tr w:rsidR="00FA1023" w:rsidRPr="00FA1023" w14:paraId="57120E30" w14:textId="77777777" w:rsidTr="009D1752">
        <w:trPr>
          <w:trHeight w:val="270"/>
          <w:jc w:val="center"/>
        </w:trPr>
        <w:tc>
          <w:tcPr>
            <w:tcW w:w="4136" w:type="dxa"/>
            <w:shd w:val="clear" w:color="auto" w:fill="auto"/>
            <w:noWrap/>
            <w:vAlign w:val="center"/>
            <w:hideMark/>
          </w:tcPr>
          <w:p w14:paraId="423C5B71" w14:textId="008C1909" w:rsidR="00FA1023" w:rsidRPr="009D1752" w:rsidRDefault="0072274C" w:rsidP="009A2AEF">
            <w:pPr>
              <w:jc w:val="both"/>
              <w:rPr>
                <w:rFonts w:eastAsia="华文楷体"/>
                <w:b/>
                <w:bCs/>
                <w:color w:val="000000"/>
                <w:sz w:val="22"/>
                <w:szCs w:val="22"/>
                <w:lang w:val="en-US"/>
              </w:rPr>
            </w:pPr>
            <w:r>
              <w:rPr>
                <w:b/>
                <w:bCs/>
                <w:color w:val="000000"/>
                <w:sz w:val="21"/>
                <w:szCs w:val="21"/>
                <w:lang w:val="en-US"/>
              </w:rPr>
              <w:t>Subt</w:t>
            </w:r>
            <w:r w:rsidR="00FA1023" w:rsidRPr="009D1752">
              <w:rPr>
                <w:b/>
                <w:bCs/>
                <w:color w:val="000000"/>
                <w:sz w:val="21"/>
                <w:szCs w:val="21"/>
                <w:lang w:val="en-US"/>
              </w:rPr>
              <w:t>otal Payroll Cost</w:t>
            </w:r>
          </w:p>
        </w:tc>
        <w:tc>
          <w:tcPr>
            <w:tcW w:w="2436" w:type="dxa"/>
            <w:shd w:val="clear" w:color="auto" w:fill="auto"/>
            <w:noWrap/>
            <w:vAlign w:val="center"/>
            <w:hideMark/>
          </w:tcPr>
          <w:p w14:paraId="208CDD49" w14:textId="77777777" w:rsidR="00FA1023" w:rsidRPr="009D1752" w:rsidRDefault="00FA1023" w:rsidP="009A2AEF">
            <w:pPr>
              <w:jc w:val="center"/>
              <w:rPr>
                <w:b/>
                <w:color w:val="000000"/>
                <w:kern w:val="2"/>
                <w:sz w:val="21"/>
                <w:szCs w:val="21"/>
                <w:lang w:val="en-US"/>
              </w:rPr>
            </w:pPr>
            <w:r w:rsidRPr="009D1752">
              <w:rPr>
                <w:b/>
                <w:color w:val="000000"/>
                <w:kern w:val="2"/>
                <w:sz w:val="21"/>
                <w:szCs w:val="21"/>
                <w:lang w:val="en-US"/>
              </w:rPr>
              <w:t>27,370</w:t>
            </w:r>
          </w:p>
        </w:tc>
      </w:tr>
      <w:tr w:rsidR="00FA1023" w:rsidRPr="00FA1023" w14:paraId="09E9DE69" w14:textId="77777777" w:rsidTr="009D1752">
        <w:trPr>
          <w:trHeight w:val="346"/>
          <w:jc w:val="center"/>
        </w:trPr>
        <w:tc>
          <w:tcPr>
            <w:tcW w:w="4136" w:type="dxa"/>
            <w:shd w:val="clear" w:color="auto" w:fill="auto"/>
            <w:noWrap/>
            <w:hideMark/>
          </w:tcPr>
          <w:p w14:paraId="6AB72B04" w14:textId="44FEEDCE" w:rsidR="00FA1023" w:rsidRPr="00FA1023" w:rsidRDefault="00FA1023" w:rsidP="009A2AEF">
            <w:r w:rsidRPr="009D1752">
              <w:rPr>
                <w:b/>
                <w:bCs/>
                <w:color w:val="000000"/>
                <w:sz w:val="21"/>
                <w:szCs w:val="21"/>
                <w:lang w:val="en-US"/>
              </w:rPr>
              <w:t>3. Depreciation and amortization</w:t>
            </w:r>
          </w:p>
        </w:tc>
        <w:tc>
          <w:tcPr>
            <w:tcW w:w="2436" w:type="dxa"/>
            <w:shd w:val="clear" w:color="auto" w:fill="auto"/>
            <w:noWrap/>
            <w:vAlign w:val="center"/>
            <w:hideMark/>
          </w:tcPr>
          <w:p w14:paraId="0FFA21A8" w14:textId="77777777" w:rsidR="00FA1023" w:rsidRPr="009D1752" w:rsidRDefault="00FA1023" w:rsidP="009A2AEF">
            <w:pPr>
              <w:jc w:val="center"/>
              <w:rPr>
                <w:b/>
                <w:color w:val="000000"/>
                <w:kern w:val="2"/>
                <w:sz w:val="21"/>
                <w:szCs w:val="21"/>
                <w:lang w:val="en-US"/>
              </w:rPr>
            </w:pPr>
            <w:r w:rsidRPr="009D1752">
              <w:rPr>
                <w:b/>
                <w:color w:val="000000"/>
                <w:kern w:val="2"/>
                <w:sz w:val="21"/>
                <w:szCs w:val="21"/>
                <w:lang w:val="en-US"/>
              </w:rPr>
              <w:t>100</w:t>
            </w:r>
          </w:p>
        </w:tc>
      </w:tr>
      <w:tr w:rsidR="00FA1023" w:rsidRPr="00FA1023" w14:paraId="0E85E1A7" w14:textId="77777777" w:rsidTr="009D1752">
        <w:trPr>
          <w:trHeight w:val="270"/>
          <w:jc w:val="center"/>
        </w:trPr>
        <w:tc>
          <w:tcPr>
            <w:tcW w:w="4136" w:type="dxa"/>
            <w:shd w:val="clear" w:color="auto" w:fill="auto"/>
            <w:noWrap/>
            <w:vAlign w:val="center"/>
            <w:hideMark/>
          </w:tcPr>
          <w:p w14:paraId="6C061458" w14:textId="02F5E2EA" w:rsidR="00FA1023" w:rsidRPr="009D1752" w:rsidRDefault="00FA1023" w:rsidP="009A2AEF">
            <w:pPr>
              <w:jc w:val="both"/>
              <w:rPr>
                <w:rFonts w:eastAsia="华文楷体"/>
                <w:b/>
                <w:bCs/>
                <w:color w:val="000000"/>
                <w:sz w:val="22"/>
                <w:szCs w:val="22"/>
                <w:lang w:val="en-US"/>
              </w:rPr>
            </w:pPr>
            <w:r w:rsidRPr="009D1752">
              <w:rPr>
                <w:b/>
                <w:bCs/>
                <w:color w:val="000000"/>
                <w:sz w:val="21"/>
                <w:szCs w:val="21"/>
                <w:lang w:val="en-US"/>
              </w:rPr>
              <w:t>4. Board &amp; Committee Expense</w:t>
            </w:r>
          </w:p>
        </w:tc>
        <w:tc>
          <w:tcPr>
            <w:tcW w:w="2436" w:type="dxa"/>
            <w:shd w:val="clear" w:color="auto" w:fill="auto"/>
            <w:noWrap/>
            <w:vAlign w:val="center"/>
            <w:hideMark/>
          </w:tcPr>
          <w:p w14:paraId="404768A2" w14:textId="77777777" w:rsidR="00FA1023" w:rsidRPr="009D1752" w:rsidRDefault="00FA1023" w:rsidP="009A2AEF">
            <w:pPr>
              <w:jc w:val="center"/>
              <w:rPr>
                <w:b/>
                <w:color w:val="000000"/>
                <w:kern w:val="2"/>
                <w:sz w:val="21"/>
                <w:szCs w:val="21"/>
                <w:lang w:val="en-US"/>
              </w:rPr>
            </w:pPr>
            <w:r w:rsidRPr="009D1752">
              <w:rPr>
                <w:b/>
                <w:color w:val="000000"/>
                <w:kern w:val="2"/>
                <w:sz w:val="21"/>
                <w:szCs w:val="21"/>
                <w:lang w:val="en-US"/>
              </w:rPr>
              <w:t>300</w:t>
            </w:r>
          </w:p>
        </w:tc>
      </w:tr>
      <w:tr w:rsidR="00FA1023" w:rsidRPr="00FA1023" w14:paraId="1C729C00" w14:textId="77777777" w:rsidTr="009D1752">
        <w:trPr>
          <w:trHeight w:val="368"/>
          <w:jc w:val="center"/>
        </w:trPr>
        <w:tc>
          <w:tcPr>
            <w:tcW w:w="4136" w:type="dxa"/>
            <w:shd w:val="clear" w:color="auto" w:fill="auto"/>
            <w:noWrap/>
            <w:vAlign w:val="center"/>
            <w:hideMark/>
          </w:tcPr>
          <w:p w14:paraId="412E6C21" w14:textId="2E0ECDC7" w:rsidR="00FA1023" w:rsidRPr="009D1752" w:rsidRDefault="00FA1023" w:rsidP="009A2AEF">
            <w:pPr>
              <w:jc w:val="both"/>
              <w:rPr>
                <w:rFonts w:eastAsia="华文楷体"/>
                <w:b/>
                <w:bCs/>
                <w:color w:val="000000"/>
                <w:sz w:val="22"/>
                <w:szCs w:val="22"/>
                <w:lang w:val="en-US"/>
              </w:rPr>
            </w:pPr>
            <w:r w:rsidRPr="009D1752">
              <w:rPr>
                <w:b/>
                <w:bCs/>
                <w:color w:val="000000"/>
                <w:sz w:val="21"/>
                <w:szCs w:val="21"/>
                <w:lang w:val="en-US"/>
              </w:rPr>
              <w:t>5. Software Expense</w:t>
            </w:r>
          </w:p>
        </w:tc>
        <w:tc>
          <w:tcPr>
            <w:tcW w:w="2436" w:type="dxa"/>
            <w:shd w:val="clear" w:color="auto" w:fill="auto"/>
            <w:noWrap/>
            <w:vAlign w:val="center"/>
            <w:hideMark/>
          </w:tcPr>
          <w:p w14:paraId="2CF70B20" w14:textId="77777777" w:rsidR="00FA1023" w:rsidRPr="009D1752" w:rsidRDefault="00FA1023" w:rsidP="009A2AEF">
            <w:pPr>
              <w:jc w:val="center"/>
              <w:rPr>
                <w:b/>
                <w:color w:val="000000"/>
                <w:kern w:val="2"/>
                <w:sz w:val="21"/>
                <w:szCs w:val="21"/>
                <w:lang w:val="en-US"/>
              </w:rPr>
            </w:pPr>
            <w:r w:rsidRPr="009D1752">
              <w:rPr>
                <w:b/>
                <w:color w:val="000000"/>
                <w:kern w:val="2"/>
                <w:sz w:val="21"/>
                <w:szCs w:val="21"/>
                <w:lang w:val="en-US"/>
              </w:rPr>
              <w:t>1,200</w:t>
            </w:r>
          </w:p>
        </w:tc>
      </w:tr>
      <w:tr w:rsidR="00FA1023" w:rsidRPr="00FA1023" w14:paraId="224D0304" w14:textId="77777777" w:rsidTr="009D1752">
        <w:trPr>
          <w:trHeight w:val="270"/>
          <w:jc w:val="center"/>
        </w:trPr>
        <w:tc>
          <w:tcPr>
            <w:tcW w:w="4136" w:type="dxa"/>
            <w:shd w:val="clear" w:color="auto" w:fill="auto"/>
            <w:noWrap/>
            <w:vAlign w:val="center"/>
            <w:hideMark/>
          </w:tcPr>
          <w:p w14:paraId="73D76983" w14:textId="08F90990" w:rsidR="00FA1023" w:rsidRPr="009D1752" w:rsidRDefault="00FA1023" w:rsidP="009A2AEF">
            <w:pPr>
              <w:jc w:val="both"/>
              <w:rPr>
                <w:rFonts w:eastAsia="华文楷体"/>
                <w:b/>
                <w:bCs/>
                <w:color w:val="000000"/>
                <w:sz w:val="22"/>
                <w:szCs w:val="22"/>
                <w:lang w:val="en-US"/>
              </w:rPr>
            </w:pPr>
            <w:r w:rsidRPr="009D1752">
              <w:rPr>
                <w:b/>
                <w:bCs/>
                <w:color w:val="000000"/>
                <w:sz w:val="21"/>
                <w:szCs w:val="21"/>
                <w:lang w:val="en-US"/>
              </w:rPr>
              <w:t>6. Project Development Expense</w:t>
            </w:r>
          </w:p>
        </w:tc>
        <w:tc>
          <w:tcPr>
            <w:tcW w:w="2436" w:type="dxa"/>
            <w:shd w:val="clear" w:color="auto" w:fill="auto"/>
            <w:noWrap/>
            <w:vAlign w:val="center"/>
            <w:hideMark/>
          </w:tcPr>
          <w:p w14:paraId="29F7CBAA" w14:textId="77777777" w:rsidR="00FA1023" w:rsidRPr="009D1752" w:rsidRDefault="00FA1023" w:rsidP="009A2AEF">
            <w:pPr>
              <w:jc w:val="center"/>
              <w:rPr>
                <w:b/>
                <w:color w:val="000000"/>
                <w:kern w:val="2"/>
                <w:sz w:val="21"/>
                <w:szCs w:val="21"/>
                <w:lang w:val="en-US"/>
              </w:rPr>
            </w:pPr>
            <w:r w:rsidRPr="009D1752">
              <w:rPr>
                <w:b/>
                <w:color w:val="000000"/>
                <w:kern w:val="2"/>
                <w:sz w:val="21"/>
                <w:szCs w:val="21"/>
                <w:lang w:val="en-US"/>
              </w:rPr>
              <w:t>4,800</w:t>
            </w:r>
          </w:p>
        </w:tc>
      </w:tr>
      <w:tr w:rsidR="00FA1023" w:rsidRPr="00FA1023" w14:paraId="0A4FF67E" w14:textId="77777777" w:rsidTr="009D1752">
        <w:trPr>
          <w:trHeight w:val="404"/>
          <w:jc w:val="center"/>
        </w:trPr>
        <w:tc>
          <w:tcPr>
            <w:tcW w:w="4136" w:type="dxa"/>
            <w:shd w:val="clear" w:color="auto" w:fill="auto"/>
            <w:noWrap/>
            <w:vAlign w:val="center"/>
            <w:hideMark/>
          </w:tcPr>
          <w:p w14:paraId="7F796426" w14:textId="77777777" w:rsidR="00FA1023" w:rsidRPr="009D1752" w:rsidRDefault="00FA1023" w:rsidP="009A2AEF">
            <w:pPr>
              <w:jc w:val="both"/>
              <w:rPr>
                <w:rFonts w:eastAsia="华文楷体"/>
                <w:b/>
                <w:bCs/>
                <w:color w:val="000000"/>
                <w:sz w:val="22"/>
                <w:szCs w:val="22"/>
                <w:lang w:val="en-US"/>
              </w:rPr>
            </w:pPr>
            <w:r w:rsidRPr="009D1752">
              <w:rPr>
                <w:b/>
                <w:bCs/>
                <w:color w:val="000000"/>
                <w:sz w:val="21"/>
                <w:szCs w:val="21"/>
                <w:lang w:val="en-US"/>
              </w:rPr>
              <w:t>7. Raising &amp; Preparatory Expense</w:t>
            </w:r>
          </w:p>
        </w:tc>
        <w:tc>
          <w:tcPr>
            <w:tcW w:w="2436" w:type="dxa"/>
            <w:shd w:val="clear" w:color="auto" w:fill="auto"/>
            <w:noWrap/>
            <w:vAlign w:val="center"/>
            <w:hideMark/>
          </w:tcPr>
          <w:p w14:paraId="6F0412BE" w14:textId="77777777" w:rsidR="00FA1023" w:rsidRPr="009D1752" w:rsidRDefault="00FA1023" w:rsidP="009A2AEF">
            <w:pPr>
              <w:jc w:val="center"/>
              <w:rPr>
                <w:b/>
                <w:color w:val="000000"/>
                <w:kern w:val="2"/>
                <w:sz w:val="21"/>
                <w:szCs w:val="21"/>
                <w:lang w:val="en-US"/>
              </w:rPr>
            </w:pPr>
            <w:r w:rsidRPr="009D1752">
              <w:rPr>
                <w:b/>
                <w:color w:val="000000"/>
                <w:kern w:val="2"/>
                <w:sz w:val="21"/>
                <w:szCs w:val="21"/>
                <w:lang w:val="en-US"/>
              </w:rPr>
              <w:t>20,310</w:t>
            </w:r>
          </w:p>
        </w:tc>
      </w:tr>
      <w:tr w:rsidR="00FA1023" w:rsidRPr="00FA1023" w14:paraId="2AA9C328" w14:textId="77777777" w:rsidTr="009D1752">
        <w:trPr>
          <w:trHeight w:val="70"/>
          <w:jc w:val="center"/>
        </w:trPr>
        <w:tc>
          <w:tcPr>
            <w:tcW w:w="4136" w:type="dxa"/>
            <w:shd w:val="clear" w:color="auto" w:fill="auto"/>
            <w:noWrap/>
            <w:vAlign w:val="center"/>
            <w:hideMark/>
          </w:tcPr>
          <w:p w14:paraId="38AFEFCE" w14:textId="5BD13714" w:rsidR="00FA1023" w:rsidRPr="009D1752" w:rsidRDefault="00FA1023" w:rsidP="009A2AEF">
            <w:pPr>
              <w:jc w:val="both"/>
              <w:rPr>
                <w:rFonts w:eastAsia="华文楷体"/>
                <w:b/>
                <w:bCs/>
                <w:color w:val="000000"/>
                <w:sz w:val="22"/>
                <w:szCs w:val="22"/>
                <w:lang w:val="en-US"/>
              </w:rPr>
            </w:pPr>
            <w:r w:rsidRPr="009D1752">
              <w:rPr>
                <w:b/>
                <w:bCs/>
                <w:color w:val="000000"/>
                <w:sz w:val="21"/>
                <w:szCs w:val="21"/>
                <w:lang w:val="en-US"/>
              </w:rPr>
              <w:t xml:space="preserve">8. </w:t>
            </w:r>
            <w:r>
              <w:rPr>
                <w:b/>
                <w:bCs/>
                <w:color w:val="000000"/>
                <w:sz w:val="21"/>
                <w:szCs w:val="21"/>
                <w:lang w:val="en-US"/>
              </w:rPr>
              <w:t>O</w:t>
            </w:r>
            <w:r w:rsidRPr="009D1752">
              <w:rPr>
                <w:b/>
                <w:bCs/>
                <w:color w:val="000000"/>
                <w:sz w:val="21"/>
                <w:szCs w:val="21"/>
                <w:lang w:val="en-US"/>
              </w:rPr>
              <w:t>ther Expense</w:t>
            </w:r>
          </w:p>
        </w:tc>
        <w:tc>
          <w:tcPr>
            <w:tcW w:w="2436" w:type="dxa"/>
            <w:shd w:val="clear" w:color="auto" w:fill="auto"/>
            <w:noWrap/>
            <w:vAlign w:val="center"/>
            <w:hideMark/>
          </w:tcPr>
          <w:p w14:paraId="508F75DF" w14:textId="77777777" w:rsidR="00FA1023" w:rsidRPr="009D1752" w:rsidRDefault="00FA1023" w:rsidP="009A2AEF">
            <w:pPr>
              <w:jc w:val="center"/>
              <w:rPr>
                <w:color w:val="000000"/>
                <w:kern w:val="2"/>
                <w:sz w:val="21"/>
                <w:szCs w:val="21"/>
                <w:lang w:val="en-US"/>
              </w:rPr>
            </w:pPr>
          </w:p>
        </w:tc>
      </w:tr>
      <w:tr w:rsidR="00FA1023" w:rsidRPr="00FA1023" w14:paraId="2203218F" w14:textId="77777777" w:rsidTr="009D1752">
        <w:trPr>
          <w:trHeight w:val="70"/>
          <w:jc w:val="center"/>
        </w:trPr>
        <w:tc>
          <w:tcPr>
            <w:tcW w:w="4136" w:type="dxa"/>
            <w:shd w:val="clear" w:color="auto" w:fill="auto"/>
            <w:noWrap/>
            <w:vAlign w:val="center"/>
            <w:hideMark/>
          </w:tcPr>
          <w:p w14:paraId="4DB09286" w14:textId="77777777" w:rsidR="00FA1023" w:rsidRPr="009D1752" w:rsidRDefault="00FA1023" w:rsidP="009A2AEF">
            <w:pPr>
              <w:jc w:val="both"/>
              <w:rPr>
                <w:rFonts w:eastAsia="华文楷体"/>
                <w:color w:val="000000"/>
                <w:sz w:val="22"/>
                <w:szCs w:val="22"/>
                <w:lang w:val="en-US"/>
              </w:rPr>
            </w:pPr>
            <w:r w:rsidRPr="009D1752">
              <w:rPr>
                <w:color w:val="000000"/>
                <w:sz w:val="21"/>
                <w:szCs w:val="21"/>
                <w:lang w:val="en-US"/>
              </w:rPr>
              <w:t>Audit Fees</w:t>
            </w:r>
          </w:p>
        </w:tc>
        <w:tc>
          <w:tcPr>
            <w:tcW w:w="2436" w:type="dxa"/>
            <w:shd w:val="clear" w:color="auto" w:fill="auto"/>
            <w:noWrap/>
            <w:vAlign w:val="center"/>
            <w:hideMark/>
          </w:tcPr>
          <w:p w14:paraId="09F1F2FA" w14:textId="77777777" w:rsidR="00FA1023" w:rsidRPr="009D1752" w:rsidRDefault="00FA1023" w:rsidP="009A2AEF">
            <w:pPr>
              <w:jc w:val="center"/>
              <w:rPr>
                <w:color w:val="000000"/>
                <w:kern w:val="2"/>
                <w:sz w:val="21"/>
                <w:szCs w:val="21"/>
                <w:lang w:val="en-US"/>
              </w:rPr>
            </w:pPr>
            <w:r w:rsidRPr="009D1752">
              <w:rPr>
                <w:color w:val="000000"/>
                <w:kern w:val="2"/>
                <w:sz w:val="21"/>
                <w:szCs w:val="21"/>
                <w:lang w:val="en-US"/>
              </w:rPr>
              <w:t>400</w:t>
            </w:r>
          </w:p>
        </w:tc>
      </w:tr>
      <w:tr w:rsidR="00FA1023" w:rsidRPr="00FA1023" w14:paraId="7A7F751F" w14:textId="77777777" w:rsidTr="009D1752">
        <w:trPr>
          <w:trHeight w:val="270"/>
          <w:jc w:val="center"/>
        </w:trPr>
        <w:tc>
          <w:tcPr>
            <w:tcW w:w="4136" w:type="dxa"/>
            <w:shd w:val="clear" w:color="auto" w:fill="auto"/>
            <w:noWrap/>
            <w:vAlign w:val="center"/>
            <w:hideMark/>
          </w:tcPr>
          <w:p w14:paraId="6D2B4263" w14:textId="77777777" w:rsidR="00FA1023" w:rsidRPr="009D1752" w:rsidRDefault="00FA1023" w:rsidP="009A2AEF">
            <w:pPr>
              <w:jc w:val="both"/>
              <w:rPr>
                <w:rFonts w:eastAsia="华文楷体"/>
                <w:bCs/>
                <w:color w:val="000000"/>
                <w:sz w:val="22"/>
                <w:szCs w:val="22"/>
                <w:lang w:val="en-US"/>
              </w:rPr>
            </w:pPr>
            <w:r w:rsidRPr="009D1752">
              <w:rPr>
                <w:color w:val="000000"/>
                <w:sz w:val="21"/>
                <w:szCs w:val="21"/>
                <w:lang w:val="en-US"/>
              </w:rPr>
              <w:t>Other Consulting Fees</w:t>
            </w:r>
          </w:p>
        </w:tc>
        <w:tc>
          <w:tcPr>
            <w:tcW w:w="2436" w:type="dxa"/>
            <w:shd w:val="clear" w:color="auto" w:fill="auto"/>
            <w:noWrap/>
            <w:vAlign w:val="center"/>
            <w:hideMark/>
          </w:tcPr>
          <w:p w14:paraId="2F9ECF32" w14:textId="77777777" w:rsidR="00FA1023" w:rsidRPr="009D1752" w:rsidRDefault="00FA1023" w:rsidP="009A2AEF">
            <w:pPr>
              <w:jc w:val="center"/>
              <w:rPr>
                <w:color w:val="000000"/>
                <w:kern w:val="2"/>
                <w:sz w:val="21"/>
                <w:szCs w:val="21"/>
                <w:lang w:val="en-US"/>
              </w:rPr>
            </w:pPr>
            <w:r w:rsidRPr="009D1752">
              <w:rPr>
                <w:color w:val="000000"/>
                <w:kern w:val="2"/>
                <w:sz w:val="21"/>
                <w:szCs w:val="21"/>
                <w:lang w:val="en-US"/>
              </w:rPr>
              <w:t>1,200</w:t>
            </w:r>
          </w:p>
        </w:tc>
      </w:tr>
      <w:tr w:rsidR="00FA1023" w:rsidRPr="00FA1023" w14:paraId="3A10FF27" w14:textId="77777777" w:rsidTr="009D1752">
        <w:trPr>
          <w:trHeight w:val="270"/>
          <w:jc w:val="center"/>
        </w:trPr>
        <w:tc>
          <w:tcPr>
            <w:tcW w:w="4136" w:type="dxa"/>
            <w:shd w:val="clear" w:color="auto" w:fill="auto"/>
            <w:noWrap/>
            <w:vAlign w:val="center"/>
          </w:tcPr>
          <w:p w14:paraId="06BD1CCD" w14:textId="29957FA0" w:rsidR="00FA1023" w:rsidRPr="009D1752" w:rsidRDefault="0072274C" w:rsidP="009A2AEF">
            <w:pPr>
              <w:jc w:val="both"/>
              <w:rPr>
                <w:rFonts w:eastAsia="华文楷体"/>
                <w:bCs/>
                <w:color w:val="000000"/>
                <w:sz w:val="22"/>
                <w:szCs w:val="22"/>
                <w:lang w:val="en-US"/>
              </w:rPr>
            </w:pPr>
            <w:r>
              <w:rPr>
                <w:color w:val="000000"/>
                <w:sz w:val="21"/>
                <w:szCs w:val="21"/>
                <w:lang w:val="en-US"/>
              </w:rPr>
              <w:t xml:space="preserve">Interest </w:t>
            </w:r>
            <w:r w:rsidR="00FA1023" w:rsidRPr="009D1752">
              <w:rPr>
                <w:color w:val="000000"/>
                <w:sz w:val="21"/>
                <w:szCs w:val="21"/>
                <w:lang w:val="en-US"/>
              </w:rPr>
              <w:t>Expenses</w:t>
            </w:r>
          </w:p>
        </w:tc>
        <w:tc>
          <w:tcPr>
            <w:tcW w:w="2436" w:type="dxa"/>
            <w:shd w:val="clear" w:color="auto" w:fill="auto"/>
            <w:noWrap/>
            <w:vAlign w:val="center"/>
          </w:tcPr>
          <w:p w14:paraId="2006A5BD" w14:textId="77777777" w:rsidR="00FA1023" w:rsidRPr="009D1752" w:rsidRDefault="00FA1023" w:rsidP="009A2AEF">
            <w:pPr>
              <w:jc w:val="center"/>
              <w:rPr>
                <w:color w:val="000000"/>
                <w:kern w:val="2"/>
                <w:sz w:val="21"/>
                <w:szCs w:val="21"/>
                <w:lang w:val="en-US"/>
              </w:rPr>
            </w:pPr>
            <w:r w:rsidRPr="009D1752">
              <w:rPr>
                <w:color w:val="000000"/>
                <w:kern w:val="2"/>
                <w:sz w:val="21"/>
                <w:szCs w:val="21"/>
                <w:lang w:val="en-US"/>
              </w:rPr>
              <w:t>540</w:t>
            </w:r>
          </w:p>
        </w:tc>
      </w:tr>
      <w:tr w:rsidR="00FA1023" w:rsidRPr="00FA1023" w14:paraId="7053ECFA" w14:textId="77777777" w:rsidTr="009D1752">
        <w:trPr>
          <w:trHeight w:val="270"/>
          <w:jc w:val="center"/>
        </w:trPr>
        <w:tc>
          <w:tcPr>
            <w:tcW w:w="4136" w:type="dxa"/>
            <w:shd w:val="clear" w:color="auto" w:fill="auto"/>
            <w:noWrap/>
            <w:vAlign w:val="center"/>
          </w:tcPr>
          <w:p w14:paraId="39195D8D" w14:textId="7E8209C2" w:rsidR="00FA1023" w:rsidRPr="009D1752" w:rsidRDefault="00C24192" w:rsidP="009A2AEF">
            <w:pPr>
              <w:jc w:val="both"/>
              <w:rPr>
                <w:rFonts w:eastAsia="华文楷体"/>
                <w:bCs/>
                <w:color w:val="000000"/>
                <w:sz w:val="22"/>
                <w:szCs w:val="22"/>
                <w:lang w:val="en-US"/>
              </w:rPr>
            </w:pPr>
            <w:r w:rsidRPr="009D1752">
              <w:rPr>
                <w:bCs/>
                <w:color w:val="000000"/>
                <w:sz w:val="21"/>
                <w:szCs w:val="21"/>
                <w:lang w:val="en-US"/>
              </w:rPr>
              <w:t>O</w:t>
            </w:r>
            <w:r w:rsidR="00FA1023" w:rsidRPr="009D1752">
              <w:rPr>
                <w:bCs/>
                <w:color w:val="000000"/>
                <w:sz w:val="21"/>
                <w:szCs w:val="21"/>
                <w:lang w:val="en-US"/>
              </w:rPr>
              <w:t>ther</w:t>
            </w:r>
          </w:p>
        </w:tc>
        <w:tc>
          <w:tcPr>
            <w:tcW w:w="2436" w:type="dxa"/>
            <w:shd w:val="clear" w:color="auto" w:fill="auto"/>
            <w:noWrap/>
            <w:vAlign w:val="center"/>
          </w:tcPr>
          <w:p w14:paraId="1D26B0A8" w14:textId="77777777" w:rsidR="00FA1023" w:rsidRPr="009D1752" w:rsidRDefault="00FA1023" w:rsidP="009A2AEF">
            <w:pPr>
              <w:jc w:val="center"/>
              <w:rPr>
                <w:color w:val="000000"/>
                <w:kern w:val="2"/>
                <w:sz w:val="21"/>
                <w:szCs w:val="21"/>
                <w:lang w:val="en-US"/>
              </w:rPr>
            </w:pPr>
            <w:r w:rsidRPr="009D1752">
              <w:rPr>
                <w:color w:val="000000"/>
                <w:kern w:val="2"/>
                <w:sz w:val="21"/>
                <w:szCs w:val="21"/>
                <w:lang w:val="en-US"/>
              </w:rPr>
              <w:t>1,220</w:t>
            </w:r>
          </w:p>
        </w:tc>
      </w:tr>
      <w:tr w:rsidR="00FA1023" w:rsidRPr="00FA1023" w14:paraId="5B28AAEE" w14:textId="77777777" w:rsidTr="009D1752">
        <w:trPr>
          <w:trHeight w:val="270"/>
          <w:jc w:val="center"/>
        </w:trPr>
        <w:tc>
          <w:tcPr>
            <w:tcW w:w="4136" w:type="dxa"/>
            <w:shd w:val="clear" w:color="auto" w:fill="auto"/>
            <w:noWrap/>
            <w:vAlign w:val="center"/>
          </w:tcPr>
          <w:p w14:paraId="5EB72BC1" w14:textId="31538413" w:rsidR="00FA1023" w:rsidRPr="009D1752" w:rsidRDefault="0072274C" w:rsidP="009A2AEF">
            <w:pPr>
              <w:jc w:val="both"/>
              <w:rPr>
                <w:rFonts w:eastAsia="华文楷体"/>
                <w:b/>
                <w:bCs/>
                <w:color w:val="000000"/>
                <w:sz w:val="22"/>
                <w:szCs w:val="22"/>
                <w:lang w:val="en-US"/>
              </w:rPr>
            </w:pPr>
            <w:r>
              <w:rPr>
                <w:b/>
                <w:bCs/>
                <w:color w:val="000000"/>
                <w:sz w:val="21"/>
                <w:szCs w:val="21"/>
                <w:lang w:val="en-US"/>
              </w:rPr>
              <w:t>Subt</w:t>
            </w:r>
            <w:r w:rsidR="00FA1023" w:rsidRPr="009D1752">
              <w:rPr>
                <w:b/>
                <w:bCs/>
                <w:color w:val="000000"/>
                <w:sz w:val="21"/>
                <w:szCs w:val="21"/>
                <w:lang w:val="en-US"/>
              </w:rPr>
              <w:t>otal other Expense</w:t>
            </w:r>
          </w:p>
        </w:tc>
        <w:tc>
          <w:tcPr>
            <w:tcW w:w="2436" w:type="dxa"/>
            <w:shd w:val="clear" w:color="auto" w:fill="auto"/>
            <w:noWrap/>
            <w:vAlign w:val="center"/>
          </w:tcPr>
          <w:p w14:paraId="34166B8C" w14:textId="77777777" w:rsidR="00FA1023" w:rsidRPr="009D1752" w:rsidRDefault="00FA1023" w:rsidP="009A2AEF">
            <w:pPr>
              <w:jc w:val="center"/>
              <w:rPr>
                <w:b/>
                <w:color w:val="000000"/>
                <w:kern w:val="2"/>
                <w:sz w:val="21"/>
                <w:szCs w:val="21"/>
                <w:lang w:val="en-US"/>
              </w:rPr>
            </w:pPr>
            <w:r w:rsidRPr="009D1752">
              <w:rPr>
                <w:b/>
                <w:color w:val="000000"/>
                <w:kern w:val="2"/>
                <w:sz w:val="21"/>
                <w:szCs w:val="21"/>
                <w:lang w:val="en-US"/>
              </w:rPr>
              <w:t>3,360</w:t>
            </w:r>
          </w:p>
        </w:tc>
      </w:tr>
      <w:tr w:rsidR="00FA1023" w:rsidRPr="00FA1023" w14:paraId="6904EE5F" w14:textId="77777777" w:rsidTr="009D1752">
        <w:trPr>
          <w:trHeight w:val="270"/>
          <w:jc w:val="center"/>
        </w:trPr>
        <w:tc>
          <w:tcPr>
            <w:tcW w:w="4136" w:type="dxa"/>
            <w:shd w:val="clear" w:color="auto" w:fill="auto"/>
            <w:noWrap/>
            <w:vAlign w:val="bottom"/>
            <w:hideMark/>
          </w:tcPr>
          <w:p w14:paraId="42325AD5" w14:textId="77777777" w:rsidR="00FA1023" w:rsidRPr="009D1752" w:rsidRDefault="00FA1023" w:rsidP="009A2AEF">
            <w:pPr>
              <w:jc w:val="both"/>
              <w:rPr>
                <w:rFonts w:eastAsia="华文楷体"/>
                <w:b/>
                <w:bCs/>
                <w:color w:val="000000"/>
                <w:sz w:val="22"/>
                <w:szCs w:val="22"/>
                <w:lang w:val="en-US"/>
              </w:rPr>
            </w:pPr>
          </w:p>
        </w:tc>
        <w:tc>
          <w:tcPr>
            <w:tcW w:w="2436" w:type="dxa"/>
            <w:shd w:val="clear" w:color="auto" w:fill="auto"/>
            <w:noWrap/>
            <w:vAlign w:val="center"/>
            <w:hideMark/>
          </w:tcPr>
          <w:p w14:paraId="20D36636" w14:textId="77777777" w:rsidR="00FA1023" w:rsidRPr="009D1752" w:rsidRDefault="00FA1023" w:rsidP="009A2AEF">
            <w:pPr>
              <w:jc w:val="center"/>
              <w:rPr>
                <w:color w:val="000000"/>
                <w:kern w:val="2"/>
                <w:sz w:val="21"/>
                <w:szCs w:val="21"/>
                <w:lang w:val="en-US"/>
              </w:rPr>
            </w:pPr>
          </w:p>
        </w:tc>
      </w:tr>
      <w:tr w:rsidR="00FA1023" w:rsidRPr="00FA1023" w14:paraId="645132BA" w14:textId="77777777" w:rsidTr="009D1752">
        <w:trPr>
          <w:trHeight w:val="270"/>
          <w:jc w:val="center"/>
        </w:trPr>
        <w:tc>
          <w:tcPr>
            <w:tcW w:w="4136" w:type="dxa"/>
            <w:shd w:val="clear" w:color="auto" w:fill="auto"/>
            <w:noWrap/>
            <w:vAlign w:val="center"/>
            <w:hideMark/>
          </w:tcPr>
          <w:p w14:paraId="7D399AA9" w14:textId="6DE782D9" w:rsidR="00FA1023" w:rsidRPr="009D1752" w:rsidRDefault="00FA1023" w:rsidP="009A2AEF">
            <w:pPr>
              <w:jc w:val="both"/>
              <w:rPr>
                <w:rFonts w:eastAsia="华文楷体"/>
                <w:b/>
                <w:bCs/>
                <w:color w:val="000000"/>
                <w:sz w:val="21"/>
                <w:szCs w:val="21"/>
                <w:lang w:val="en-US"/>
              </w:rPr>
            </w:pPr>
            <w:r w:rsidRPr="009D1752">
              <w:rPr>
                <w:b/>
                <w:bCs/>
                <w:color w:val="000000"/>
                <w:sz w:val="21"/>
                <w:szCs w:val="21"/>
              </w:rPr>
              <w:t>Total Operating Expense</w:t>
            </w:r>
          </w:p>
        </w:tc>
        <w:tc>
          <w:tcPr>
            <w:tcW w:w="2436" w:type="dxa"/>
            <w:shd w:val="clear" w:color="auto" w:fill="auto"/>
            <w:noWrap/>
            <w:vAlign w:val="center"/>
            <w:hideMark/>
          </w:tcPr>
          <w:p w14:paraId="25EF31AB" w14:textId="77777777" w:rsidR="00FA1023" w:rsidRPr="009D1752" w:rsidRDefault="00FA1023" w:rsidP="009A2AEF">
            <w:pPr>
              <w:jc w:val="center"/>
              <w:rPr>
                <w:b/>
                <w:color w:val="000000"/>
                <w:kern w:val="2"/>
                <w:sz w:val="21"/>
                <w:szCs w:val="21"/>
                <w:lang w:val="en-US"/>
              </w:rPr>
            </w:pPr>
            <w:r w:rsidRPr="000F20BD">
              <w:rPr>
                <w:b/>
                <w:color w:val="000000"/>
                <w:kern w:val="2"/>
                <w:sz w:val="21"/>
                <w:szCs w:val="21"/>
                <w:lang w:val="en-US"/>
              </w:rPr>
              <w:t>62,000</w:t>
            </w:r>
          </w:p>
        </w:tc>
      </w:tr>
      <w:tr w:rsidR="002F78C7" w:rsidRPr="00FA1023" w14:paraId="16B35B44" w14:textId="77777777" w:rsidTr="002F78C7">
        <w:trPr>
          <w:trHeight w:val="270"/>
          <w:jc w:val="center"/>
        </w:trPr>
        <w:tc>
          <w:tcPr>
            <w:tcW w:w="4136" w:type="dxa"/>
            <w:shd w:val="clear" w:color="auto" w:fill="auto"/>
            <w:noWrap/>
            <w:vAlign w:val="center"/>
          </w:tcPr>
          <w:p w14:paraId="65BBF402" w14:textId="77777777" w:rsidR="002F78C7" w:rsidRPr="0072274C" w:rsidRDefault="002F78C7" w:rsidP="009A2AEF">
            <w:pPr>
              <w:jc w:val="both"/>
              <w:rPr>
                <w:b/>
                <w:bCs/>
                <w:color w:val="000000"/>
                <w:sz w:val="21"/>
                <w:szCs w:val="21"/>
              </w:rPr>
            </w:pPr>
          </w:p>
        </w:tc>
        <w:tc>
          <w:tcPr>
            <w:tcW w:w="2436" w:type="dxa"/>
            <w:shd w:val="clear" w:color="auto" w:fill="auto"/>
            <w:noWrap/>
            <w:vAlign w:val="center"/>
          </w:tcPr>
          <w:p w14:paraId="768CE829" w14:textId="77777777" w:rsidR="002F78C7" w:rsidRPr="00FA1023" w:rsidRDefault="002F78C7" w:rsidP="009A2AEF">
            <w:pPr>
              <w:jc w:val="center"/>
              <w:rPr>
                <w:b/>
                <w:color w:val="000000"/>
                <w:kern w:val="2"/>
                <w:sz w:val="21"/>
                <w:szCs w:val="21"/>
                <w:lang w:val="en-US"/>
              </w:rPr>
            </w:pPr>
          </w:p>
        </w:tc>
      </w:tr>
    </w:tbl>
    <w:p w14:paraId="529DBF2A" w14:textId="77777777" w:rsidR="005473D9" w:rsidRPr="00D47AAA" w:rsidRDefault="005473D9" w:rsidP="009D1752">
      <w:pPr>
        <w:rPr>
          <w:b/>
          <w:sz w:val="28"/>
          <w:szCs w:val="28"/>
          <w:lang w:val="en-US"/>
        </w:rPr>
      </w:pPr>
      <w:r w:rsidRPr="00D47AAA">
        <w:rPr>
          <w:b/>
          <w:sz w:val="28"/>
          <w:szCs w:val="28"/>
          <w:lang w:val="en-US"/>
        </w:rPr>
        <w:t>B.</w:t>
      </w:r>
      <w:r w:rsidRPr="00D47AAA">
        <w:rPr>
          <w:b/>
          <w:sz w:val="28"/>
          <w:szCs w:val="28"/>
          <w:lang w:val="en-US"/>
        </w:rPr>
        <w:tab/>
        <w:t xml:space="preserve">Notes to </w:t>
      </w:r>
      <w:r>
        <w:rPr>
          <w:b/>
          <w:sz w:val="28"/>
          <w:szCs w:val="28"/>
          <w:lang w:val="en-US"/>
        </w:rPr>
        <w:t xml:space="preserve">2019 </w:t>
      </w:r>
      <w:r w:rsidRPr="00D47AAA">
        <w:rPr>
          <w:b/>
          <w:sz w:val="28"/>
          <w:szCs w:val="28"/>
          <w:lang w:val="en-US"/>
        </w:rPr>
        <w:t>Income Budget</w:t>
      </w:r>
      <w:r w:rsidRPr="00D47AAA">
        <w:rPr>
          <w:b/>
          <w:sz w:val="28"/>
          <w:szCs w:val="28"/>
          <w:lang w:val="en-US"/>
        </w:rPr>
        <w:tab/>
      </w:r>
    </w:p>
    <w:p w14:paraId="08BB8F72" w14:textId="371B835D" w:rsidR="005473D9" w:rsidRDefault="005473D9" w:rsidP="005473D9">
      <w:pPr>
        <w:spacing w:line="360" w:lineRule="auto"/>
        <w:jc w:val="both"/>
        <w:rPr>
          <w:rFonts w:eastAsia="仿宋_GB2312"/>
          <w:bCs/>
          <w:sz w:val="28"/>
          <w:szCs w:val="28"/>
          <w:lang w:val="en-US"/>
        </w:rPr>
      </w:pPr>
      <w:r w:rsidRPr="009A2AEF">
        <w:rPr>
          <w:rFonts w:eastAsia="仿宋_GB2312"/>
          <w:bCs/>
          <w:sz w:val="28"/>
          <w:szCs w:val="28"/>
          <w:lang w:val="en-US"/>
        </w:rPr>
        <w:t>The total amount of management fee income for existing projects</w:t>
      </w:r>
      <w:r w:rsidRPr="009A2AEF">
        <w:rPr>
          <w:rFonts w:eastAsia="仿宋_GB2312" w:hint="eastAsia"/>
          <w:bCs/>
          <w:sz w:val="28"/>
          <w:szCs w:val="28"/>
          <w:lang w:val="en-US"/>
        </w:rPr>
        <w:t xml:space="preserve"> </w:t>
      </w:r>
      <w:r w:rsidRPr="009A2AEF">
        <w:rPr>
          <w:rFonts w:eastAsia="仿宋_GB2312"/>
          <w:bCs/>
          <w:sz w:val="28"/>
          <w:szCs w:val="28"/>
          <w:lang w:val="en-US"/>
        </w:rPr>
        <w:t xml:space="preserve">in </w:t>
      </w:r>
      <w:r w:rsidRPr="009A2AEF">
        <w:rPr>
          <w:rFonts w:eastAsia="仿宋_GB2312" w:hint="eastAsia"/>
          <w:bCs/>
          <w:sz w:val="28"/>
          <w:szCs w:val="28"/>
          <w:lang w:val="en-US"/>
        </w:rPr>
        <w:t>201</w:t>
      </w:r>
      <w:r w:rsidRPr="009A2AEF">
        <w:rPr>
          <w:rFonts w:eastAsia="仿宋_GB2312"/>
          <w:bCs/>
          <w:sz w:val="28"/>
          <w:szCs w:val="28"/>
          <w:lang w:val="en-US"/>
        </w:rPr>
        <w:t>9</w:t>
      </w:r>
      <w:r w:rsidRPr="009A2AEF">
        <w:rPr>
          <w:rFonts w:eastAsia="仿宋_GB2312" w:hint="eastAsia"/>
          <w:bCs/>
          <w:sz w:val="28"/>
          <w:szCs w:val="28"/>
          <w:lang w:val="en-US"/>
        </w:rPr>
        <w:t xml:space="preserve"> is </w:t>
      </w:r>
      <w:r w:rsidRPr="009A2AEF">
        <w:rPr>
          <w:rFonts w:eastAsia="仿宋_GB2312"/>
          <w:bCs/>
          <w:sz w:val="28"/>
          <w:szCs w:val="28"/>
          <w:lang w:val="en-US"/>
        </w:rPr>
        <w:t>RMB 40</w:t>
      </w:r>
      <w:r w:rsidRPr="009A2AEF">
        <w:rPr>
          <w:rFonts w:eastAsia="仿宋_GB2312" w:hint="eastAsia"/>
          <w:bCs/>
          <w:sz w:val="28"/>
          <w:szCs w:val="28"/>
          <w:lang w:val="en-US"/>
        </w:rPr>
        <w:t>.</w:t>
      </w:r>
      <w:r w:rsidRPr="009A2AEF">
        <w:rPr>
          <w:rFonts w:eastAsia="仿宋_GB2312"/>
          <w:bCs/>
          <w:sz w:val="28"/>
          <w:szCs w:val="28"/>
          <w:lang w:val="en-US"/>
        </w:rPr>
        <w:t>79</w:t>
      </w:r>
      <w:r w:rsidRPr="009A2AEF">
        <w:rPr>
          <w:rFonts w:eastAsia="仿宋_GB2312" w:hint="eastAsia"/>
          <w:bCs/>
          <w:sz w:val="28"/>
          <w:szCs w:val="28"/>
          <w:lang w:val="en-US"/>
        </w:rPr>
        <w:t xml:space="preserve"> million, </w:t>
      </w:r>
      <w:r w:rsidRPr="009A2AEF">
        <w:rPr>
          <w:rFonts w:eastAsia="仿宋_GB2312"/>
          <w:bCs/>
          <w:sz w:val="28"/>
          <w:szCs w:val="28"/>
          <w:lang w:val="en-US"/>
        </w:rPr>
        <w:t xml:space="preserve">carry interest from CATL is estimated </w:t>
      </w:r>
      <w:r w:rsidR="007B0F0F">
        <w:rPr>
          <w:rFonts w:eastAsia="仿宋_GB2312"/>
          <w:bCs/>
          <w:sz w:val="28"/>
          <w:szCs w:val="28"/>
          <w:lang w:val="en-US"/>
        </w:rPr>
        <w:t xml:space="preserve">to be </w:t>
      </w:r>
      <w:r w:rsidRPr="009A2AEF">
        <w:rPr>
          <w:rFonts w:eastAsia="仿宋_GB2312"/>
          <w:bCs/>
          <w:sz w:val="28"/>
          <w:szCs w:val="28"/>
          <w:lang w:val="en-US"/>
        </w:rPr>
        <w:t>RMB 47.15 million</w:t>
      </w:r>
      <w:r w:rsidR="00CA20F5" w:rsidRPr="009A2AEF">
        <w:rPr>
          <w:rFonts w:eastAsia="仿宋_GB2312"/>
          <w:bCs/>
          <w:sz w:val="28"/>
          <w:szCs w:val="28"/>
          <w:lang w:val="en-US"/>
        </w:rPr>
        <w:t xml:space="preserve"> (</w:t>
      </w:r>
      <w:r w:rsidR="007B0F0F">
        <w:rPr>
          <w:rFonts w:eastAsia="仿宋_GB2312"/>
          <w:bCs/>
          <w:sz w:val="28"/>
          <w:szCs w:val="28"/>
          <w:lang w:val="en-US"/>
        </w:rPr>
        <w:t xml:space="preserve">assuming full exit by end of 2019 at an average per </w:t>
      </w:r>
      <w:r w:rsidR="00CA20F5" w:rsidRPr="009A2AEF">
        <w:rPr>
          <w:rFonts w:eastAsia="仿宋_GB2312"/>
          <w:bCs/>
          <w:sz w:val="28"/>
          <w:szCs w:val="28"/>
          <w:lang w:val="en-US"/>
        </w:rPr>
        <w:t xml:space="preserve">share price </w:t>
      </w:r>
      <w:r w:rsidR="007B0F0F">
        <w:rPr>
          <w:rFonts w:eastAsia="仿宋_GB2312"/>
          <w:bCs/>
          <w:sz w:val="28"/>
          <w:szCs w:val="28"/>
          <w:lang w:val="en-US"/>
        </w:rPr>
        <w:t>of</w:t>
      </w:r>
      <w:r w:rsidR="00CA20F5" w:rsidRPr="009A2AEF">
        <w:rPr>
          <w:rFonts w:eastAsia="仿宋_GB2312"/>
          <w:bCs/>
          <w:sz w:val="28"/>
          <w:szCs w:val="28"/>
          <w:lang w:val="en-US"/>
        </w:rPr>
        <w:t xml:space="preserve"> RMB 70)</w:t>
      </w:r>
      <w:r w:rsidRPr="009A2AEF">
        <w:rPr>
          <w:rFonts w:eastAsia="仿宋_GB2312"/>
          <w:bCs/>
          <w:sz w:val="28"/>
          <w:szCs w:val="28"/>
          <w:lang w:val="en-US"/>
        </w:rPr>
        <w:t xml:space="preserve">, it is expected that </w:t>
      </w:r>
      <w:r w:rsidRPr="009A2AEF">
        <w:rPr>
          <w:rFonts w:eastAsia="仿宋_GB2312" w:hint="eastAsia"/>
          <w:bCs/>
          <w:sz w:val="28"/>
          <w:szCs w:val="28"/>
          <w:lang w:val="en-US"/>
        </w:rPr>
        <w:t>total</w:t>
      </w:r>
      <w:r w:rsidRPr="009A2AEF">
        <w:rPr>
          <w:rFonts w:eastAsia="仿宋_GB2312"/>
          <w:bCs/>
          <w:sz w:val="28"/>
          <w:szCs w:val="28"/>
          <w:lang w:val="en-US"/>
        </w:rPr>
        <w:t xml:space="preserve"> income for 2019 will amount to</w:t>
      </w:r>
      <w:r w:rsidRPr="009A2AEF">
        <w:rPr>
          <w:rFonts w:eastAsia="仿宋_GB2312" w:hint="eastAsia"/>
          <w:bCs/>
          <w:sz w:val="28"/>
          <w:szCs w:val="28"/>
          <w:lang w:val="en-US"/>
        </w:rPr>
        <w:t xml:space="preserve"> </w:t>
      </w:r>
      <w:r w:rsidRPr="009A2AEF">
        <w:rPr>
          <w:rFonts w:eastAsia="仿宋_GB2312"/>
          <w:bCs/>
          <w:sz w:val="28"/>
          <w:szCs w:val="28"/>
          <w:lang w:val="en-US"/>
        </w:rPr>
        <w:t>RMB 87.</w:t>
      </w:r>
      <w:r w:rsidR="005F3B7C" w:rsidRPr="009A2AEF">
        <w:rPr>
          <w:rFonts w:eastAsia="仿宋_GB2312"/>
          <w:bCs/>
          <w:sz w:val="28"/>
          <w:szCs w:val="28"/>
          <w:lang w:val="en-US"/>
        </w:rPr>
        <w:t xml:space="preserve">94 </w:t>
      </w:r>
      <w:r w:rsidRPr="009A2AEF">
        <w:rPr>
          <w:rFonts w:eastAsia="仿宋_GB2312" w:hint="eastAsia"/>
          <w:bCs/>
          <w:sz w:val="28"/>
          <w:szCs w:val="28"/>
          <w:lang w:val="en-US"/>
        </w:rPr>
        <w:t>million</w:t>
      </w:r>
      <w:r w:rsidRPr="009A2AEF">
        <w:rPr>
          <w:rFonts w:eastAsia="仿宋_GB2312"/>
          <w:bCs/>
          <w:sz w:val="28"/>
          <w:szCs w:val="28"/>
          <w:lang w:val="en-US"/>
        </w:rPr>
        <w:t>.</w:t>
      </w:r>
      <w:r w:rsidR="00FA2F9B">
        <w:rPr>
          <w:rFonts w:eastAsia="仿宋_GB2312"/>
          <w:bCs/>
          <w:sz w:val="28"/>
          <w:szCs w:val="28"/>
          <w:lang w:val="en-US"/>
        </w:rPr>
        <w:t xml:space="preserve">  This does not include the instructing bondholder fee of US$2.4 million otherwise collectible under Project </w:t>
      </w:r>
      <w:proofErr w:type="spellStart"/>
      <w:r w:rsidR="00FA2F9B">
        <w:rPr>
          <w:rFonts w:eastAsia="仿宋_GB2312"/>
          <w:bCs/>
          <w:sz w:val="28"/>
          <w:szCs w:val="28"/>
          <w:lang w:val="en-US"/>
        </w:rPr>
        <w:t>Yancoal</w:t>
      </w:r>
      <w:proofErr w:type="spellEnd"/>
      <w:r w:rsidR="00FA2F9B">
        <w:rPr>
          <w:rFonts w:eastAsia="仿宋_GB2312"/>
          <w:bCs/>
          <w:sz w:val="28"/>
          <w:szCs w:val="28"/>
          <w:lang w:val="en-US"/>
        </w:rPr>
        <w:t xml:space="preserve"> if the put option is not exercised thereunder.  </w:t>
      </w:r>
    </w:p>
    <w:p w14:paraId="358B6306" w14:textId="77777777" w:rsidR="00305BFF" w:rsidRPr="009A2AEF" w:rsidRDefault="00305BFF" w:rsidP="005473D9">
      <w:pPr>
        <w:spacing w:line="360" w:lineRule="auto"/>
        <w:jc w:val="both"/>
        <w:rPr>
          <w:rFonts w:eastAsia="仿宋_GB2312"/>
          <w:bCs/>
          <w:sz w:val="28"/>
          <w:szCs w:val="28"/>
          <w:lang w:val="en-US"/>
        </w:rPr>
      </w:pPr>
    </w:p>
    <w:tbl>
      <w:tblPr>
        <w:tblW w:w="6165" w:type="dxa"/>
        <w:tblInd w:w="1245" w:type="dxa"/>
        <w:tblLook w:val="04A0" w:firstRow="1" w:lastRow="0" w:firstColumn="1" w:lastColumn="0" w:noHBand="0" w:noVBand="1"/>
      </w:tblPr>
      <w:tblGrid>
        <w:gridCol w:w="2901"/>
        <w:gridCol w:w="3264"/>
      </w:tblGrid>
      <w:tr w:rsidR="004B3C9E" w:rsidRPr="002F78C7" w14:paraId="6959333B" w14:textId="77777777" w:rsidTr="009D1752">
        <w:trPr>
          <w:trHeight w:val="920"/>
        </w:trPr>
        <w:tc>
          <w:tcPr>
            <w:tcW w:w="6165" w:type="dxa"/>
            <w:gridSpan w:val="2"/>
            <w:shd w:val="clear" w:color="auto" w:fill="auto"/>
            <w:noWrap/>
            <w:vAlign w:val="center"/>
            <w:hideMark/>
          </w:tcPr>
          <w:p w14:paraId="595D352D" w14:textId="28112E6F" w:rsidR="004B3C9E" w:rsidRPr="009D1752" w:rsidRDefault="004B3C9E" w:rsidP="009D1752">
            <w:pPr>
              <w:jc w:val="center"/>
              <w:rPr>
                <w:b/>
                <w:color w:val="000000"/>
                <w:sz w:val="28"/>
                <w:szCs w:val="28"/>
              </w:rPr>
            </w:pPr>
            <w:r w:rsidRPr="009D1752">
              <w:rPr>
                <w:b/>
                <w:color w:val="000000"/>
                <w:sz w:val="28"/>
                <w:szCs w:val="28"/>
              </w:rPr>
              <w:lastRenderedPageBreak/>
              <w:t>2019 Annual Revenue Budget</w:t>
            </w:r>
          </w:p>
          <w:p w14:paraId="2948CFD0" w14:textId="67CDDC7B" w:rsidR="004B3C9E" w:rsidRPr="009D1752" w:rsidRDefault="004B3C9E" w:rsidP="009D1752">
            <w:pPr>
              <w:jc w:val="center"/>
              <w:rPr>
                <w:b/>
                <w:color w:val="000000"/>
                <w:sz w:val="28"/>
                <w:szCs w:val="28"/>
              </w:rPr>
            </w:pPr>
            <w:r w:rsidRPr="009D1752">
              <w:rPr>
                <w:color w:val="000000"/>
                <w:sz w:val="20"/>
                <w:szCs w:val="20"/>
              </w:rPr>
              <w:t>Unit: CNY ‘000</w:t>
            </w:r>
          </w:p>
        </w:tc>
      </w:tr>
      <w:tr w:rsidR="002F78C7" w:rsidRPr="002F78C7" w14:paraId="63D2C7D0" w14:textId="77777777" w:rsidTr="009D1752">
        <w:trPr>
          <w:trHeight w:val="267"/>
        </w:trPr>
        <w:tc>
          <w:tcPr>
            <w:tcW w:w="2901" w:type="dxa"/>
            <w:shd w:val="clear" w:color="auto" w:fill="auto"/>
            <w:noWrap/>
            <w:vAlign w:val="center"/>
            <w:hideMark/>
          </w:tcPr>
          <w:p w14:paraId="064F2FA0" w14:textId="77777777" w:rsidR="002F78C7" w:rsidRPr="009D1752" w:rsidRDefault="002F78C7" w:rsidP="009A2AEF">
            <w:pPr>
              <w:jc w:val="both"/>
              <w:rPr>
                <w:color w:val="000000"/>
                <w:szCs w:val="21"/>
              </w:rPr>
            </w:pPr>
            <w:r w:rsidRPr="009D1752">
              <w:rPr>
                <w:color w:val="000000"/>
                <w:szCs w:val="21"/>
              </w:rPr>
              <w:t>Hanson</w:t>
            </w:r>
          </w:p>
        </w:tc>
        <w:tc>
          <w:tcPr>
            <w:tcW w:w="3264" w:type="dxa"/>
            <w:shd w:val="clear" w:color="auto" w:fill="auto"/>
            <w:noWrap/>
            <w:vAlign w:val="center"/>
            <w:hideMark/>
          </w:tcPr>
          <w:p w14:paraId="26E2BF54" w14:textId="77777777" w:rsidR="002F78C7" w:rsidRPr="009D1752" w:rsidRDefault="002F78C7" w:rsidP="009A2AEF">
            <w:pPr>
              <w:jc w:val="center"/>
              <w:rPr>
                <w:color w:val="000000"/>
                <w:kern w:val="2"/>
                <w:sz w:val="21"/>
                <w:szCs w:val="21"/>
                <w:lang w:val="en-US"/>
              </w:rPr>
            </w:pPr>
            <w:r w:rsidRPr="009D1752">
              <w:rPr>
                <w:color w:val="000000"/>
                <w:kern w:val="2"/>
                <w:sz w:val="21"/>
                <w:szCs w:val="21"/>
                <w:lang w:val="en-US"/>
              </w:rPr>
              <w:t>28,100</w:t>
            </w:r>
          </w:p>
        </w:tc>
      </w:tr>
      <w:tr w:rsidR="002F78C7" w:rsidRPr="002F78C7" w14:paraId="7A833526" w14:textId="77777777" w:rsidTr="009D1752">
        <w:trPr>
          <w:trHeight w:val="70"/>
        </w:trPr>
        <w:tc>
          <w:tcPr>
            <w:tcW w:w="2901" w:type="dxa"/>
            <w:shd w:val="clear" w:color="auto" w:fill="auto"/>
            <w:noWrap/>
            <w:vAlign w:val="center"/>
            <w:hideMark/>
          </w:tcPr>
          <w:p w14:paraId="28486FA6" w14:textId="77777777" w:rsidR="002F78C7" w:rsidRPr="009D1752" w:rsidRDefault="002F78C7" w:rsidP="009A2AEF">
            <w:pPr>
              <w:jc w:val="both"/>
              <w:rPr>
                <w:color w:val="000000"/>
                <w:szCs w:val="21"/>
              </w:rPr>
            </w:pPr>
            <w:proofErr w:type="spellStart"/>
            <w:r w:rsidRPr="009D1752">
              <w:rPr>
                <w:color w:val="000000"/>
                <w:szCs w:val="21"/>
              </w:rPr>
              <w:t>Tuniu</w:t>
            </w:r>
            <w:proofErr w:type="spellEnd"/>
          </w:p>
        </w:tc>
        <w:tc>
          <w:tcPr>
            <w:tcW w:w="3264" w:type="dxa"/>
            <w:shd w:val="clear" w:color="auto" w:fill="auto"/>
            <w:noWrap/>
            <w:vAlign w:val="center"/>
            <w:hideMark/>
          </w:tcPr>
          <w:p w14:paraId="7DEFFB28" w14:textId="77777777" w:rsidR="002F78C7" w:rsidRPr="009D1752" w:rsidRDefault="002F78C7" w:rsidP="009A2AEF">
            <w:pPr>
              <w:jc w:val="center"/>
              <w:rPr>
                <w:color w:val="000000"/>
                <w:kern w:val="2"/>
                <w:sz w:val="21"/>
                <w:szCs w:val="21"/>
                <w:lang w:val="en-US"/>
              </w:rPr>
            </w:pPr>
            <w:r w:rsidRPr="009D1752">
              <w:rPr>
                <w:color w:val="000000"/>
                <w:kern w:val="2"/>
                <w:sz w:val="21"/>
                <w:szCs w:val="21"/>
                <w:lang w:val="en-US"/>
              </w:rPr>
              <w:t>5,981</w:t>
            </w:r>
          </w:p>
        </w:tc>
      </w:tr>
      <w:tr w:rsidR="002F78C7" w:rsidRPr="002F78C7" w14:paraId="5B7EB7FF" w14:textId="77777777" w:rsidTr="009D1752">
        <w:trPr>
          <w:trHeight w:val="270"/>
        </w:trPr>
        <w:tc>
          <w:tcPr>
            <w:tcW w:w="2901" w:type="dxa"/>
            <w:shd w:val="clear" w:color="auto" w:fill="auto"/>
            <w:noWrap/>
            <w:vAlign w:val="center"/>
            <w:hideMark/>
          </w:tcPr>
          <w:p w14:paraId="169AEA51" w14:textId="77777777" w:rsidR="002F78C7" w:rsidRPr="009D1752" w:rsidRDefault="002F78C7" w:rsidP="009A2AEF">
            <w:pPr>
              <w:jc w:val="both"/>
              <w:rPr>
                <w:color w:val="000000"/>
                <w:szCs w:val="21"/>
              </w:rPr>
            </w:pPr>
            <w:r w:rsidRPr="009D1752">
              <w:rPr>
                <w:color w:val="000000"/>
                <w:szCs w:val="21"/>
              </w:rPr>
              <w:t>CATL</w:t>
            </w:r>
          </w:p>
        </w:tc>
        <w:tc>
          <w:tcPr>
            <w:tcW w:w="3264" w:type="dxa"/>
            <w:shd w:val="clear" w:color="auto" w:fill="auto"/>
            <w:noWrap/>
            <w:vAlign w:val="center"/>
            <w:hideMark/>
          </w:tcPr>
          <w:p w14:paraId="501BF479" w14:textId="77777777" w:rsidR="002F78C7" w:rsidRPr="009D1752" w:rsidRDefault="002F78C7" w:rsidP="009A2AEF">
            <w:pPr>
              <w:jc w:val="center"/>
              <w:rPr>
                <w:color w:val="000000"/>
                <w:kern w:val="2"/>
                <w:sz w:val="21"/>
                <w:szCs w:val="21"/>
                <w:lang w:val="en-US"/>
              </w:rPr>
            </w:pPr>
            <w:r w:rsidRPr="009D1752">
              <w:rPr>
                <w:color w:val="000000"/>
                <w:kern w:val="2"/>
                <w:sz w:val="21"/>
                <w:szCs w:val="21"/>
                <w:lang w:val="en-US"/>
              </w:rPr>
              <w:t>802</w:t>
            </w:r>
          </w:p>
        </w:tc>
      </w:tr>
      <w:tr w:rsidR="002F78C7" w:rsidRPr="002F78C7" w14:paraId="7AEAEC13" w14:textId="77777777" w:rsidTr="009D1752">
        <w:trPr>
          <w:trHeight w:val="270"/>
        </w:trPr>
        <w:tc>
          <w:tcPr>
            <w:tcW w:w="2901" w:type="dxa"/>
            <w:shd w:val="clear" w:color="auto" w:fill="auto"/>
            <w:noWrap/>
            <w:vAlign w:val="center"/>
          </w:tcPr>
          <w:p w14:paraId="27659D03" w14:textId="77777777" w:rsidR="002F78C7" w:rsidRPr="009D1752" w:rsidRDefault="002F78C7" w:rsidP="009A2AEF">
            <w:pPr>
              <w:jc w:val="both"/>
              <w:rPr>
                <w:color w:val="000000"/>
                <w:szCs w:val="21"/>
              </w:rPr>
            </w:pPr>
            <w:r w:rsidRPr="009D1752">
              <w:rPr>
                <w:color w:val="000000"/>
                <w:szCs w:val="21"/>
              </w:rPr>
              <w:t>CATL Carry</w:t>
            </w:r>
          </w:p>
        </w:tc>
        <w:tc>
          <w:tcPr>
            <w:tcW w:w="3264" w:type="dxa"/>
            <w:shd w:val="clear" w:color="auto" w:fill="auto"/>
            <w:noWrap/>
            <w:vAlign w:val="center"/>
          </w:tcPr>
          <w:p w14:paraId="00453ABC" w14:textId="77777777" w:rsidR="002F78C7" w:rsidRPr="009D1752" w:rsidRDefault="002F78C7" w:rsidP="009A2AEF">
            <w:pPr>
              <w:jc w:val="center"/>
              <w:rPr>
                <w:color w:val="000000"/>
                <w:kern w:val="2"/>
                <w:sz w:val="21"/>
                <w:szCs w:val="21"/>
                <w:lang w:val="en-US"/>
              </w:rPr>
            </w:pPr>
            <w:r w:rsidRPr="009D1752">
              <w:rPr>
                <w:color w:val="000000"/>
                <w:kern w:val="2"/>
                <w:sz w:val="21"/>
                <w:szCs w:val="21"/>
                <w:lang w:val="en-US"/>
              </w:rPr>
              <w:t>47,147</w:t>
            </w:r>
          </w:p>
        </w:tc>
      </w:tr>
      <w:tr w:rsidR="002F78C7" w:rsidRPr="002F78C7" w14:paraId="5F58BC3A" w14:textId="77777777" w:rsidTr="009D1752">
        <w:trPr>
          <w:trHeight w:val="270"/>
        </w:trPr>
        <w:tc>
          <w:tcPr>
            <w:tcW w:w="2901" w:type="dxa"/>
            <w:shd w:val="clear" w:color="auto" w:fill="auto"/>
            <w:noWrap/>
            <w:vAlign w:val="center"/>
          </w:tcPr>
          <w:p w14:paraId="216F946F" w14:textId="77777777" w:rsidR="002F78C7" w:rsidRPr="009D1752" w:rsidRDefault="002F78C7" w:rsidP="009A2AEF">
            <w:pPr>
              <w:jc w:val="both"/>
              <w:rPr>
                <w:color w:val="000000"/>
                <w:szCs w:val="21"/>
              </w:rPr>
            </w:pPr>
            <w:r w:rsidRPr="009D1752">
              <w:rPr>
                <w:color w:val="000000"/>
                <w:szCs w:val="21"/>
              </w:rPr>
              <w:t xml:space="preserve">Wenzhou </w:t>
            </w:r>
            <w:proofErr w:type="spellStart"/>
            <w:r w:rsidRPr="009D1752">
              <w:rPr>
                <w:color w:val="000000"/>
                <w:szCs w:val="21"/>
              </w:rPr>
              <w:t>Jidian</w:t>
            </w:r>
            <w:proofErr w:type="spellEnd"/>
          </w:p>
        </w:tc>
        <w:tc>
          <w:tcPr>
            <w:tcW w:w="3264" w:type="dxa"/>
            <w:shd w:val="clear" w:color="auto" w:fill="auto"/>
            <w:noWrap/>
            <w:vAlign w:val="center"/>
          </w:tcPr>
          <w:p w14:paraId="509E2E08" w14:textId="77777777" w:rsidR="002F78C7" w:rsidRPr="009D1752" w:rsidRDefault="002F78C7" w:rsidP="009A2AEF">
            <w:pPr>
              <w:jc w:val="center"/>
              <w:rPr>
                <w:color w:val="000000"/>
                <w:kern w:val="2"/>
                <w:sz w:val="21"/>
                <w:szCs w:val="21"/>
                <w:lang w:val="en-US"/>
              </w:rPr>
            </w:pPr>
            <w:r w:rsidRPr="009D1752">
              <w:rPr>
                <w:color w:val="000000"/>
                <w:kern w:val="2"/>
                <w:sz w:val="21"/>
                <w:szCs w:val="21"/>
                <w:lang w:val="en-US"/>
              </w:rPr>
              <w:t>425</w:t>
            </w:r>
          </w:p>
        </w:tc>
      </w:tr>
      <w:tr w:rsidR="002F78C7" w:rsidRPr="002F78C7" w14:paraId="638BFFB0" w14:textId="77777777" w:rsidTr="009D1752">
        <w:trPr>
          <w:trHeight w:val="270"/>
        </w:trPr>
        <w:tc>
          <w:tcPr>
            <w:tcW w:w="2901" w:type="dxa"/>
            <w:shd w:val="clear" w:color="auto" w:fill="auto"/>
            <w:noWrap/>
            <w:vAlign w:val="center"/>
          </w:tcPr>
          <w:p w14:paraId="6A39D64F" w14:textId="77777777" w:rsidR="002F78C7" w:rsidRPr="009D1752" w:rsidRDefault="002F78C7" w:rsidP="009A2AEF">
            <w:pPr>
              <w:jc w:val="both"/>
              <w:rPr>
                <w:color w:val="000000"/>
                <w:szCs w:val="21"/>
              </w:rPr>
            </w:pPr>
            <w:r w:rsidRPr="009D1752">
              <w:rPr>
                <w:color w:val="000000"/>
                <w:szCs w:val="21"/>
              </w:rPr>
              <w:t>CMOC</w:t>
            </w:r>
          </w:p>
        </w:tc>
        <w:tc>
          <w:tcPr>
            <w:tcW w:w="3264" w:type="dxa"/>
            <w:shd w:val="clear" w:color="auto" w:fill="auto"/>
            <w:noWrap/>
            <w:vAlign w:val="center"/>
          </w:tcPr>
          <w:p w14:paraId="47DF7B5A" w14:textId="77777777" w:rsidR="002F78C7" w:rsidRPr="009D1752" w:rsidRDefault="002F78C7" w:rsidP="009A2AEF">
            <w:pPr>
              <w:jc w:val="center"/>
              <w:rPr>
                <w:color w:val="000000"/>
                <w:kern w:val="2"/>
                <w:sz w:val="21"/>
                <w:szCs w:val="21"/>
                <w:lang w:val="en-US"/>
              </w:rPr>
            </w:pPr>
            <w:r w:rsidRPr="009D1752">
              <w:rPr>
                <w:color w:val="000000"/>
                <w:kern w:val="2"/>
                <w:sz w:val="21"/>
                <w:szCs w:val="21"/>
                <w:lang w:val="en-US"/>
              </w:rPr>
              <w:t>3,145</w:t>
            </w:r>
          </w:p>
        </w:tc>
      </w:tr>
      <w:tr w:rsidR="002F78C7" w:rsidRPr="002F78C7" w14:paraId="26E6EF76" w14:textId="77777777" w:rsidTr="009D1752">
        <w:trPr>
          <w:trHeight w:val="270"/>
        </w:trPr>
        <w:tc>
          <w:tcPr>
            <w:tcW w:w="2901" w:type="dxa"/>
            <w:shd w:val="clear" w:color="auto" w:fill="auto"/>
            <w:noWrap/>
            <w:vAlign w:val="center"/>
          </w:tcPr>
          <w:p w14:paraId="0CDCF488" w14:textId="77777777" w:rsidR="002F78C7" w:rsidRPr="009D1752" w:rsidRDefault="002F78C7" w:rsidP="009A2AEF">
            <w:pPr>
              <w:jc w:val="both"/>
              <w:rPr>
                <w:color w:val="000000"/>
                <w:szCs w:val="21"/>
              </w:rPr>
            </w:pPr>
            <w:r w:rsidRPr="009D1752">
              <w:rPr>
                <w:color w:val="000000"/>
                <w:szCs w:val="21"/>
              </w:rPr>
              <w:t>Face++</w:t>
            </w:r>
          </w:p>
        </w:tc>
        <w:tc>
          <w:tcPr>
            <w:tcW w:w="3264" w:type="dxa"/>
            <w:shd w:val="clear" w:color="auto" w:fill="auto"/>
            <w:noWrap/>
            <w:vAlign w:val="center"/>
          </w:tcPr>
          <w:p w14:paraId="139DC6F9" w14:textId="77777777" w:rsidR="002F78C7" w:rsidRPr="009D1752" w:rsidRDefault="002F78C7" w:rsidP="009A2AEF">
            <w:pPr>
              <w:jc w:val="center"/>
              <w:rPr>
                <w:color w:val="000000"/>
                <w:kern w:val="2"/>
                <w:sz w:val="21"/>
                <w:szCs w:val="21"/>
                <w:lang w:val="en-US"/>
              </w:rPr>
            </w:pPr>
            <w:r w:rsidRPr="009D1752">
              <w:rPr>
                <w:color w:val="000000"/>
                <w:kern w:val="2"/>
                <w:sz w:val="21"/>
                <w:szCs w:val="21"/>
                <w:lang w:val="en-US"/>
              </w:rPr>
              <w:t>748</w:t>
            </w:r>
          </w:p>
        </w:tc>
      </w:tr>
      <w:tr w:rsidR="002F78C7" w:rsidRPr="002F78C7" w14:paraId="34D95694" w14:textId="77777777" w:rsidTr="009D1752">
        <w:trPr>
          <w:trHeight w:val="131"/>
        </w:trPr>
        <w:tc>
          <w:tcPr>
            <w:tcW w:w="2901" w:type="dxa"/>
            <w:shd w:val="clear" w:color="auto" w:fill="auto"/>
            <w:noWrap/>
            <w:vAlign w:val="center"/>
          </w:tcPr>
          <w:p w14:paraId="047D53C5" w14:textId="02943B7C" w:rsidR="002F78C7" w:rsidRPr="009D1752" w:rsidRDefault="00946024" w:rsidP="00946024">
            <w:pPr>
              <w:jc w:val="both"/>
              <w:rPr>
                <w:color w:val="000000"/>
                <w:szCs w:val="21"/>
              </w:rPr>
            </w:pPr>
            <w:r>
              <w:rPr>
                <w:color w:val="000000"/>
                <w:szCs w:val="21"/>
              </w:rPr>
              <w:t>West</w:t>
            </w:r>
            <w:r w:rsidRPr="009D1752">
              <w:rPr>
                <w:color w:val="000000"/>
                <w:szCs w:val="21"/>
              </w:rPr>
              <w:t xml:space="preserve"> </w:t>
            </w:r>
            <w:r w:rsidR="002F78C7" w:rsidRPr="009D1752">
              <w:rPr>
                <w:color w:val="000000"/>
                <w:szCs w:val="21"/>
              </w:rPr>
              <w:t>Dairy</w:t>
            </w:r>
          </w:p>
        </w:tc>
        <w:tc>
          <w:tcPr>
            <w:tcW w:w="3264" w:type="dxa"/>
            <w:shd w:val="clear" w:color="auto" w:fill="auto"/>
            <w:noWrap/>
            <w:vAlign w:val="center"/>
          </w:tcPr>
          <w:p w14:paraId="57034E22" w14:textId="77777777" w:rsidR="002F78C7" w:rsidRPr="009D1752" w:rsidRDefault="002F78C7" w:rsidP="009A2AEF">
            <w:pPr>
              <w:jc w:val="center"/>
              <w:rPr>
                <w:color w:val="000000"/>
                <w:kern w:val="2"/>
                <w:sz w:val="21"/>
                <w:szCs w:val="21"/>
                <w:lang w:val="en-US"/>
              </w:rPr>
            </w:pPr>
            <w:r w:rsidRPr="009D1752">
              <w:rPr>
                <w:color w:val="000000"/>
                <w:kern w:val="2"/>
                <w:sz w:val="21"/>
                <w:szCs w:val="21"/>
                <w:lang w:val="en-US"/>
              </w:rPr>
              <w:t>1,592</w:t>
            </w:r>
          </w:p>
        </w:tc>
      </w:tr>
      <w:tr w:rsidR="002F78C7" w:rsidRPr="002F78C7" w14:paraId="6471137D" w14:textId="77777777" w:rsidTr="009D1752">
        <w:trPr>
          <w:trHeight w:val="270"/>
        </w:trPr>
        <w:tc>
          <w:tcPr>
            <w:tcW w:w="2901" w:type="dxa"/>
            <w:shd w:val="clear" w:color="auto" w:fill="auto"/>
            <w:noWrap/>
            <w:vAlign w:val="center"/>
            <w:hideMark/>
          </w:tcPr>
          <w:p w14:paraId="10DB38A5" w14:textId="5285DD02" w:rsidR="002F78C7" w:rsidRPr="009D1752" w:rsidRDefault="004B3C9E" w:rsidP="009A2AEF">
            <w:pPr>
              <w:jc w:val="both"/>
              <w:rPr>
                <w:rFonts w:eastAsia="华文楷体"/>
                <w:b/>
                <w:bCs/>
                <w:color w:val="000000"/>
                <w:sz w:val="21"/>
                <w:szCs w:val="21"/>
                <w:lang w:val="en-US"/>
              </w:rPr>
            </w:pPr>
            <w:r>
              <w:rPr>
                <w:b/>
                <w:color w:val="000000"/>
                <w:sz w:val="21"/>
                <w:szCs w:val="21"/>
              </w:rPr>
              <w:t>T</w:t>
            </w:r>
            <w:r w:rsidR="002F78C7" w:rsidRPr="009D1752">
              <w:rPr>
                <w:b/>
                <w:color w:val="000000"/>
                <w:sz w:val="21"/>
                <w:szCs w:val="21"/>
              </w:rPr>
              <w:t>otal</w:t>
            </w:r>
          </w:p>
        </w:tc>
        <w:tc>
          <w:tcPr>
            <w:tcW w:w="3264" w:type="dxa"/>
            <w:shd w:val="clear" w:color="auto" w:fill="auto"/>
            <w:noWrap/>
            <w:vAlign w:val="center"/>
            <w:hideMark/>
          </w:tcPr>
          <w:p w14:paraId="4518D35B" w14:textId="77777777" w:rsidR="002F78C7" w:rsidRPr="009D1752" w:rsidRDefault="002F78C7" w:rsidP="009A2AEF">
            <w:pPr>
              <w:jc w:val="center"/>
              <w:rPr>
                <w:b/>
                <w:color w:val="000000"/>
                <w:kern w:val="2"/>
                <w:sz w:val="21"/>
                <w:szCs w:val="21"/>
                <w:lang w:val="en-US"/>
              </w:rPr>
            </w:pPr>
            <w:r w:rsidRPr="009D1752">
              <w:rPr>
                <w:b/>
                <w:color w:val="000000"/>
                <w:kern w:val="2"/>
                <w:sz w:val="21"/>
                <w:szCs w:val="21"/>
                <w:lang w:val="en-US"/>
              </w:rPr>
              <w:t>87,940</w:t>
            </w:r>
          </w:p>
        </w:tc>
      </w:tr>
      <w:tr w:rsidR="002F78C7" w:rsidRPr="002F78C7" w14:paraId="4D4FDC6C" w14:textId="77777777" w:rsidTr="009D1752">
        <w:trPr>
          <w:trHeight w:val="270"/>
        </w:trPr>
        <w:tc>
          <w:tcPr>
            <w:tcW w:w="2901" w:type="dxa"/>
            <w:shd w:val="clear" w:color="auto" w:fill="auto"/>
            <w:noWrap/>
            <w:vAlign w:val="center"/>
          </w:tcPr>
          <w:p w14:paraId="3CB802B0" w14:textId="77777777" w:rsidR="002F78C7" w:rsidRPr="009D1752" w:rsidRDefault="002F78C7" w:rsidP="009A2AEF">
            <w:pPr>
              <w:jc w:val="both"/>
              <w:rPr>
                <w:rFonts w:eastAsia="华文楷体"/>
                <w:b/>
                <w:bCs/>
                <w:color w:val="000000"/>
                <w:sz w:val="22"/>
                <w:szCs w:val="22"/>
                <w:lang w:val="en-US"/>
              </w:rPr>
            </w:pPr>
          </w:p>
        </w:tc>
        <w:tc>
          <w:tcPr>
            <w:tcW w:w="3264" w:type="dxa"/>
            <w:shd w:val="clear" w:color="auto" w:fill="auto"/>
            <w:noWrap/>
            <w:vAlign w:val="center"/>
          </w:tcPr>
          <w:p w14:paraId="7A4BE9A8" w14:textId="77777777" w:rsidR="002F78C7" w:rsidRPr="009D1752" w:rsidRDefault="002F78C7" w:rsidP="009A2AEF">
            <w:pPr>
              <w:jc w:val="center"/>
              <w:rPr>
                <w:rFonts w:eastAsia="华文楷体"/>
                <w:b/>
                <w:bCs/>
                <w:color w:val="000000"/>
                <w:sz w:val="22"/>
                <w:szCs w:val="22"/>
                <w:lang w:val="en-US"/>
              </w:rPr>
            </w:pPr>
          </w:p>
        </w:tc>
      </w:tr>
    </w:tbl>
    <w:p w14:paraId="3D5DC351" w14:textId="6EDCA488" w:rsidR="005473D9" w:rsidRPr="00D47AAA" w:rsidRDefault="005473D9" w:rsidP="005473D9">
      <w:pPr>
        <w:jc w:val="both"/>
        <w:rPr>
          <w:b/>
          <w:sz w:val="28"/>
          <w:szCs w:val="28"/>
          <w:lang w:val="en-US"/>
        </w:rPr>
      </w:pPr>
      <w:r w:rsidRPr="00D47AAA">
        <w:rPr>
          <w:b/>
          <w:sz w:val="28"/>
          <w:szCs w:val="28"/>
          <w:lang w:val="en-US"/>
        </w:rPr>
        <w:t>C.</w:t>
      </w:r>
      <w:r w:rsidRPr="00D47AAA">
        <w:rPr>
          <w:b/>
          <w:sz w:val="28"/>
          <w:szCs w:val="28"/>
          <w:lang w:val="en-US"/>
        </w:rPr>
        <w:tab/>
        <w:t xml:space="preserve">Forecast on </w:t>
      </w:r>
      <w:r w:rsidR="00FA2F9B">
        <w:rPr>
          <w:b/>
          <w:sz w:val="28"/>
          <w:szCs w:val="28"/>
          <w:lang w:val="en-US"/>
        </w:rPr>
        <w:t xml:space="preserve">2019 </w:t>
      </w:r>
      <w:r w:rsidRPr="00D47AAA">
        <w:rPr>
          <w:b/>
          <w:sz w:val="28"/>
          <w:szCs w:val="28"/>
          <w:lang w:val="en-US"/>
        </w:rPr>
        <w:t>Income Statement</w:t>
      </w:r>
    </w:p>
    <w:p w14:paraId="0EFA531C" w14:textId="0BBAAF0F" w:rsidR="005473D9" w:rsidRPr="009A2AEF" w:rsidRDefault="005473D9" w:rsidP="005473D9">
      <w:pPr>
        <w:spacing w:line="360" w:lineRule="auto"/>
        <w:jc w:val="both"/>
        <w:rPr>
          <w:rFonts w:eastAsia="仿宋_GB2312"/>
          <w:bCs/>
          <w:sz w:val="28"/>
          <w:szCs w:val="28"/>
          <w:lang w:val="en-US"/>
        </w:rPr>
      </w:pPr>
      <w:r w:rsidRPr="009A2AEF">
        <w:rPr>
          <w:rFonts w:eastAsia="仿宋_GB2312"/>
          <w:bCs/>
          <w:sz w:val="28"/>
          <w:szCs w:val="28"/>
          <w:lang w:val="en-US"/>
        </w:rPr>
        <w:t>The estimated total income for 2019 is RMB</w:t>
      </w:r>
      <w:r w:rsidR="00363614" w:rsidRPr="009A2AEF">
        <w:rPr>
          <w:rFonts w:eastAsia="仿宋_GB2312"/>
          <w:bCs/>
          <w:sz w:val="28"/>
          <w:szCs w:val="28"/>
          <w:lang w:val="en-US"/>
        </w:rPr>
        <w:t xml:space="preserve"> </w:t>
      </w:r>
      <w:r w:rsidRPr="009A2AEF">
        <w:rPr>
          <w:rFonts w:eastAsia="仿宋_GB2312"/>
          <w:bCs/>
          <w:sz w:val="28"/>
          <w:szCs w:val="28"/>
          <w:lang w:val="en-US"/>
        </w:rPr>
        <w:t>87.94 million and the estimated operating expense is RMB</w:t>
      </w:r>
      <w:r w:rsidR="00363614" w:rsidRPr="009A2AEF">
        <w:rPr>
          <w:rFonts w:eastAsia="仿宋_GB2312"/>
          <w:bCs/>
          <w:sz w:val="28"/>
          <w:szCs w:val="28"/>
          <w:lang w:val="en-US"/>
        </w:rPr>
        <w:t xml:space="preserve"> </w:t>
      </w:r>
      <w:r w:rsidRPr="009A2AEF">
        <w:rPr>
          <w:rFonts w:eastAsia="仿宋_GB2312"/>
          <w:bCs/>
          <w:sz w:val="28"/>
          <w:szCs w:val="28"/>
          <w:lang w:val="en-US"/>
        </w:rPr>
        <w:t>62 million, translating into an estimated net operating gain of RMB 25.9</w:t>
      </w:r>
      <w:r w:rsidR="00363614" w:rsidRPr="009A2AEF">
        <w:rPr>
          <w:rFonts w:eastAsia="仿宋_GB2312"/>
          <w:bCs/>
          <w:sz w:val="28"/>
          <w:szCs w:val="28"/>
          <w:lang w:val="en-US"/>
        </w:rPr>
        <w:t>1</w:t>
      </w:r>
      <w:r w:rsidRPr="009A2AEF">
        <w:rPr>
          <w:rFonts w:eastAsia="仿宋_GB2312"/>
          <w:bCs/>
          <w:sz w:val="28"/>
          <w:szCs w:val="28"/>
          <w:lang w:val="en-US"/>
        </w:rPr>
        <w:t xml:space="preserve"> million.</w:t>
      </w:r>
      <w:r w:rsidR="00363614" w:rsidRPr="009A2AEF">
        <w:rPr>
          <w:rFonts w:eastAsia="仿宋_GB2312"/>
          <w:bCs/>
          <w:sz w:val="28"/>
          <w:szCs w:val="28"/>
          <w:lang w:val="en-US"/>
        </w:rPr>
        <w:t xml:space="preserve"> </w:t>
      </w:r>
      <w:r w:rsidR="00191A5A" w:rsidRPr="009A2AEF">
        <w:rPr>
          <w:rFonts w:eastAsia="仿宋_GB2312"/>
          <w:bCs/>
          <w:sz w:val="28"/>
          <w:szCs w:val="28"/>
          <w:lang w:val="en-US"/>
        </w:rPr>
        <w:t>It is projected that the Company will achieve a cumulative net distributable profit of RMB 25.95 million (after taxes and deduction for statutory reserves) in 2019.</w:t>
      </w:r>
    </w:p>
    <w:p w14:paraId="34530BF9" w14:textId="77777777" w:rsidR="005473D9" w:rsidRPr="00D47AAA" w:rsidRDefault="005473D9" w:rsidP="005473D9">
      <w:pPr>
        <w:spacing w:line="360" w:lineRule="auto"/>
        <w:jc w:val="both"/>
        <w:rPr>
          <w:b/>
          <w:sz w:val="28"/>
          <w:szCs w:val="28"/>
          <w:lang w:val="en-US"/>
        </w:rPr>
      </w:pPr>
      <w:r w:rsidRPr="00D47AAA">
        <w:rPr>
          <w:b/>
          <w:sz w:val="28"/>
          <w:szCs w:val="28"/>
          <w:lang w:val="en-US"/>
        </w:rPr>
        <w:t>D.</w:t>
      </w:r>
      <w:r w:rsidRPr="00D47AAA">
        <w:rPr>
          <w:b/>
          <w:sz w:val="28"/>
          <w:szCs w:val="28"/>
          <w:lang w:val="en-US"/>
        </w:rPr>
        <w:tab/>
        <w:t>Cash Flow Forecast</w:t>
      </w:r>
    </w:p>
    <w:p w14:paraId="08C05033" w14:textId="3F62A7A9" w:rsidR="005473D9" w:rsidRDefault="005473D9" w:rsidP="00BE1B7A">
      <w:pPr>
        <w:spacing w:line="360" w:lineRule="auto"/>
        <w:jc w:val="both"/>
        <w:rPr>
          <w:rFonts w:eastAsia="仿宋_GB2312"/>
          <w:bCs/>
          <w:sz w:val="28"/>
          <w:szCs w:val="28"/>
          <w:lang w:val="en-US"/>
        </w:rPr>
      </w:pPr>
      <w:r w:rsidRPr="009A2AEF">
        <w:rPr>
          <w:rFonts w:eastAsia="仿宋_GB2312"/>
          <w:bCs/>
          <w:sz w:val="28"/>
          <w:szCs w:val="28"/>
          <w:lang w:val="en-US"/>
        </w:rPr>
        <w:t xml:space="preserve">From the cash flow perspective, the 2019 beginning cash balance is RMB 26.01 million. The Company expects a total cash inflow of RMB </w:t>
      </w:r>
      <w:r w:rsidRPr="00240363">
        <w:rPr>
          <w:rFonts w:eastAsia="仿宋_GB2312"/>
          <w:bCs/>
          <w:sz w:val="28"/>
          <w:szCs w:val="28"/>
          <w:lang w:val="en-US"/>
        </w:rPr>
        <w:t>86.6 million consisting of (</w:t>
      </w:r>
      <w:proofErr w:type="spellStart"/>
      <w:r w:rsidRPr="00240363">
        <w:rPr>
          <w:rFonts w:eastAsia="仿宋_GB2312"/>
          <w:bCs/>
          <w:sz w:val="28"/>
          <w:szCs w:val="28"/>
          <w:lang w:val="en-US"/>
        </w:rPr>
        <w:t>i</w:t>
      </w:r>
      <w:proofErr w:type="spellEnd"/>
      <w:r w:rsidRPr="00240363">
        <w:rPr>
          <w:rFonts w:eastAsia="仿宋_GB2312"/>
          <w:bCs/>
          <w:sz w:val="28"/>
          <w:szCs w:val="28"/>
          <w:lang w:val="en-US"/>
        </w:rPr>
        <w:t xml:space="preserve">) management fees of RMB 39.45 million, (ii) carry interest of RMB 47.15 million; and a total cash outflow of RMB 74.87 million. It is estimated that the Company’s net cash </w:t>
      </w:r>
      <w:r w:rsidR="00B03F04" w:rsidRPr="00240363">
        <w:rPr>
          <w:rFonts w:eastAsia="仿宋_GB2312"/>
          <w:bCs/>
          <w:sz w:val="28"/>
          <w:szCs w:val="28"/>
          <w:lang w:val="en-US"/>
        </w:rPr>
        <w:t>in</w:t>
      </w:r>
      <w:r w:rsidRPr="00240363">
        <w:rPr>
          <w:rFonts w:eastAsia="仿宋_GB2312"/>
          <w:bCs/>
          <w:sz w:val="28"/>
          <w:szCs w:val="28"/>
          <w:lang w:val="en-US"/>
        </w:rPr>
        <w:t>flow will be R</w:t>
      </w:r>
      <w:r w:rsidRPr="009A2AEF">
        <w:rPr>
          <w:rFonts w:eastAsia="仿宋_GB2312"/>
          <w:bCs/>
          <w:sz w:val="28"/>
          <w:szCs w:val="28"/>
          <w:lang w:val="en-US"/>
        </w:rPr>
        <w:t>MB</w:t>
      </w:r>
      <w:r w:rsidR="00151AD9" w:rsidRPr="009A2AEF">
        <w:rPr>
          <w:rFonts w:eastAsia="仿宋_GB2312"/>
          <w:bCs/>
          <w:sz w:val="28"/>
          <w:szCs w:val="28"/>
          <w:lang w:val="en-US"/>
        </w:rPr>
        <w:t xml:space="preserve"> </w:t>
      </w:r>
      <w:r w:rsidRPr="009A2AEF">
        <w:rPr>
          <w:rFonts w:eastAsia="仿宋_GB2312"/>
          <w:bCs/>
          <w:sz w:val="28"/>
          <w:szCs w:val="28"/>
          <w:lang w:val="en-US"/>
        </w:rPr>
        <w:t xml:space="preserve">11.73 million </w:t>
      </w:r>
      <w:r w:rsidR="00102190">
        <w:rPr>
          <w:rFonts w:eastAsia="仿宋_GB2312"/>
          <w:bCs/>
          <w:sz w:val="28"/>
          <w:szCs w:val="28"/>
          <w:lang w:val="en-US"/>
        </w:rPr>
        <w:t xml:space="preserve">as of the end of </w:t>
      </w:r>
      <w:r w:rsidRPr="009A2AEF">
        <w:rPr>
          <w:rFonts w:eastAsia="仿宋_GB2312"/>
          <w:bCs/>
          <w:sz w:val="28"/>
          <w:szCs w:val="28"/>
          <w:lang w:val="en-US"/>
        </w:rPr>
        <w:t>2019 with an estimated ending cash balance of RMB</w:t>
      </w:r>
      <w:r w:rsidR="00151AD9" w:rsidRPr="009A2AEF">
        <w:rPr>
          <w:rFonts w:eastAsia="仿宋_GB2312"/>
          <w:bCs/>
          <w:sz w:val="28"/>
          <w:szCs w:val="28"/>
          <w:lang w:val="en-US"/>
        </w:rPr>
        <w:t xml:space="preserve"> </w:t>
      </w:r>
      <w:r w:rsidRPr="009A2AEF">
        <w:rPr>
          <w:rFonts w:eastAsia="仿宋_GB2312"/>
          <w:bCs/>
          <w:sz w:val="28"/>
          <w:szCs w:val="28"/>
          <w:lang w:val="en-US"/>
        </w:rPr>
        <w:t>37.74 million.</w:t>
      </w:r>
    </w:p>
    <w:p w14:paraId="46C6C700" w14:textId="77777777" w:rsidR="00305BFF" w:rsidRPr="009A2AEF" w:rsidRDefault="00305BFF" w:rsidP="00BE1B7A">
      <w:pPr>
        <w:spacing w:line="360" w:lineRule="auto"/>
        <w:jc w:val="both"/>
        <w:rPr>
          <w:rFonts w:eastAsia="仿宋_GB2312"/>
          <w:bCs/>
          <w:sz w:val="28"/>
          <w:szCs w:val="28"/>
          <w:lang w:val="en-US"/>
        </w:rPr>
      </w:pPr>
    </w:p>
    <w:tbl>
      <w:tblPr>
        <w:tblW w:w="7556" w:type="dxa"/>
        <w:jc w:val="center"/>
        <w:tblLook w:val="04A0" w:firstRow="1" w:lastRow="0" w:firstColumn="1" w:lastColumn="0" w:noHBand="0" w:noVBand="1"/>
      </w:tblPr>
      <w:tblGrid>
        <w:gridCol w:w="7556"/>
      </w:tblGrid>
      <w:tr w:rsidR="004B3C9E" w:rsidRPr="004B3C9E" w14:paraId="1C35CC86" w14:textId="77777777" w:rsidTr="009D1752">
        <w:trPr>
          <w:trHeight w:val="629"/>
          <w:jc w:val="center"/>
        </w:trPr>
        <w:tc>
          <w:tcPr>
            <w:tcW w:w="7556" w:type="dxa"/>
            <w:shd w:val="clear" w:color="auto" w:fill="auto"/>
            <w:noWrap/>
            <w:vAlign w:val="center"/>
          </w:tcPr>
          <w:p w14:paraId="28236E03" w14:textId="77777777" w:rsidR="004B3C9E" w:rsidRDefault="004B3C9E" w:rsidP="009A2AEF">
            <w:pPr>
              <w:jc w:val="center"/>
              <w:rPr>
                <w:b/>
                <w:color w:val="000000"/>
                <w:sz w:val="20"/>
                <w:szCs w:val="20"/>
              </w:rPr>
            </w:pPr>
            <w:r w:rsidRPr="009D1752">
              <w:rPr>
                <w:rFonts w:eastAsia="仿宋_GB2312"/>
                <w:b/>
                <w:color w:val="000000"/>
                <w:sz w:val="22"/>
                <w:szCs w:val="22"/>
                <w:lang w:val="en-US"/>
              </w:rPr>
              <w:lastRenderedPageBreak/>
              <w:t xml:space="preserve">       </w:t>
            </w:r>
            <w:r w:rsidRPr="009D1752">
              <w:rPr>
                <w:rFonts w:eastAsia="华文楷体"/>
                <w:b/>
                <w:color w:val="000000"/>
                <w:sz w:val="22"/>
                <w:szCs w:val="22"/>
                <w:lang w:val="en-US"/>
              </w:rPr>
              <w:t xml:space="preserve">    </w:t>
            </w:r>
            <w:r w:rsidRPr="009D1752">
              <w:rPr>
                <w:b/>
                <w:color w:val="000000"/>
                <w:sz w:val="28"/>
                <w:szCs w:val="28"/>
              </w:rPr>
              <w:t>2019 Annual Cash Flow Budget</w:t>
            </w:r>
            <w:r w:rsidRPr="009D1752">
              <w:rPr>
                <w:b/>
                <w:color w:val="000000"/>
                <w:sz w:val="20"/>
                <w:szCs w:val="20"/>
              </w:rPr>
              <w:t xml:space="preserve">    </w:t>
            </w:r>
          </w:p>
          <w:p w14:paraId="7EFC2AA8" w14:textId="48135151" w:rsidR="004B3C9E" w:rsidRPr="009D1752" w:rsidRDefault="004B3C9E" w:rsidP="009A2AEF">
            <w:pPr>
              <w:jc w:val="center"/>
              <w:rPr>
                <w:color w:val="000000"/>
                <w:szCs w:val="21"/>
              </w:rPr>
            </w:pPr>
            <w:r w:rsidRPr="009D1752">
              <w:rPr>
                <w:color w:val="000000"/>
                <w:szCs w:val="21"/>
              </w:rPr>
              <w:t>Unit: CNY ‘000</w:t>
            </w:r>
          </w:p>
          <w:p w14:paraId="2AFD7933" w14:textId="77777777" w:rsidR="004B3C9E" w:rsidRPr="009D1752" w:rsidRDefault="004B3C9E" w:rsidP="009A2AEF">
            <w:pPr>
              <w:jc w:val="center"/>
              <w:rPr>
                <w:rFonts w:eastAsia="仿宋_GB2312"/>
                <w:color w:val="000000"/>
                <w:sz w:val="22"/>
                <w:szCs w:val="22"/>
                <w:lang w:val="en-US"/>
              </w:rPr>
            </w:pPr>
          </w:p>
          <w:tbl>
            <w:tblPr>
              <w:tblW w:w="7052" w:type="dxa"/>
              <w:tblLook w:val="04A0" w:firstRow="1" w:lastRow="0" w:firstColumn="1" w:lastColumn="0" w:noHBand="0" w:noVBand="1"/>
            </w:tblPr>
            <w:tblGrid>
              <w:gridCol w:w="3576"/>
              <w:gridCol w:w="3476"/>
            </w:tblGrid>
            <w:tr w:rsidR="004B3C9E" w:rsidRPr="004B3C9E" w14:paraId="6120F2BD" w14:textId="77777777" w:rsidTr="009A2AEF">
              <w:trPr>
                <w:trHeight w:val="270"/>
              </w:trPr>
              <w:tc>
                <w:tcPr>
                  <w:tcW w:w="3576" w:type="dxa"/>
                  <w:tcBorders>
                    <w:top w:val="nil"/>
                    <w:left w:val="nil"/>
                    <w:bottom w:val="nil"/>
                    <w:right w:val="nil"/>
                  </w:tcBorders>
                  <w:shd w:val="clear" w:color="auto" w:fill="auto"/>
                  <w:noWrap/>
                  <w:vAlign w:val="center"/>
                  <w:hideMark/>
                </w:tcPr>
                <w:p w14:paraId="591F7144" w14:textId="77777777" w:rsidR="004B3C9E" w:rsidRPr="009D1752" w:rsidRDefault="004B3C9E" w:rsidP="009A2AEF">
                  <w:pPr>
                    <w:rPr>
                      <w:b/>
                      <w:bCs/>
                      <w:color w:val="000000"/>
                      <w:kern w:val="2"/>
                      <w:sz w:val="21"/>
                      <w:szCs w:val="21"/>
                      <w:lang w:val="en-US"/>
                    </w:rPr>
                  </w:pPr>
                  <w:r w:rsidRPr="009D1752">
                    <w:rPr>
                      <w:b/>
                      <w:bCs/>
                      <w:color w:val="000000"/>
                      <w:kern w:val="2"/>
                      <w:sz w:val="21"/>
                      <w:szCs w:val="21"/>
                      <w:lang w:val="en-US"/>
                    </w:rPr>
                    <w:t>Cash at the beginning of the period</w:t>
                  </w:r>
                </w:p>
              </w:tc>
              <w:tc>
                <w:tcPr>
                  <w:tcW w:w="3476" w:type="dxa"/>
                  <w:tcBorders>
                    <w:top w:val="nil"/>
                    <w:left w:val="nil"/>
                    <w:bottom w:val="nil"/>
                    <w:right w:val="nil"/>
                  </w:tcBorders>
                  <w:shd w:val="clear" w:color="auto" w:fill="auto"/>
                  <w:noWrap/>
                  <w:vAlign w:val="center"/>
                  <w:hideMark/>
                </w:tcPr>
                <w:p w14:paraId="26493271" w14:textId="5FAA2E87" w:rsidR="004B3C9E" w:rsidRPr="009D1752" w:rsidRDefault="004B3C9E" w:rsidP="009A2AEF">
                  <w:pPr>
                    <w:rPr>
                      <w:rFonts w:eastAsia="华文楷体"/>
                      <w:b/>
                      <w:bCs/>
                      <w:color w:val="000000"/>
                      <w:sz w:val="22"/>
                      <w:szCs w:val="22"/>
                      <w:lang w:val="en-US"/>
                    </w:rPr>
                  </w:pPr>
                  <w:r w:rsidRPr="009D1752">
                    <w:rPr>
                      <w:rFonts w:eastAsia="华文楷体"/>
                      <w:b/>
                      <w:bCs/>
                      <w:color w:val="000000"/>
                      <w:sz w:val="22"/>
                      <w:szCs w:val="22"/>
                      <w:lang w:val="en-US"/>
                    </w:rPr>
                    <w:t xml:space="preserve">            </w:t>
                  </w:r>
                  <w:r w:rsidRPr="009D1752">
                    <w:rPr>
                      <w:b/>
                      <w:color w:val="000000"/>
                      <w:kern w:val="2"/>
                      <w:sz w:val="21"/>
                      <w:szCs w:val="21"/>
                      <w:lang w:val="en-US"/>
                    </w:rPr>
                    <w:t>26,013</w:t>
                  </w:r>
                </w:p>
              </w:tc>
            </w:tr>
            <w:tr w:rsidR="004B3C9E" w:rsidRPr="004B3C9E" w14:paraId="54E779A6" w14:textId="77777777" w:rsidTr="009A2AEF">
              <w:trPr>
                <w:trHeight w:val="270"/>
              </w:trPr>
              <w:tc>
                <w:tcPr>
                  <w:tcW w:w="3576" w:type="dxa"/>
                  <w:tcBorders>
                    <w:top w:val="nil"/>
                    <w:left w:val="nil"/>
                    <w:bottom w:val="nil"/>
                    <w:right w:val="nil"/>
                  </w:tcBorders>
                  <w:shd w:val="clear" w:color="auto" w:fill="auto"/>
                  <w:noWrap/>
                  <w:vAlign w:val="center"/>
                </w:tcPr>
                <w:p w14:paraId="480D26C2" w14:textId="77777777" w:rsidR="004B3C9E" w:rsidRPr="009D1752" w:rsidRDefault="004B3C9E" w:rsidP="009A2AEF">
                  <w:pPr>
                    <w:rPr>
                      <w:b/>
                      <w:bCs/>
                      <w:color w:val="000000"/>
                      <w:kern w:val="2"/>
                      <w:sz w:val="21"/>
                      <w:szCs w:val="21"/>
                      <w:lang w:val="en-US"/>
                    </w:rPr>
                  </w:pPr>
                  <w:r w:rsidRPr="009D1752">
                    <w:rPr>
                      <w:b/>
                      <w:bCs/>
                      <w:color w:val="000000"/>
                      <w:kern w:val="2"/>
                      <w:sz w:val="21"/>
                      <w:szCs w:val="21"/>
                      <w:lang w:val="en-US"/>
                    </w:rPr>
                    <w:t>Cash Income</w:t>
                  </w:r>
                </w:p>
              </w:tc>
              <w:tc>
                <w:tcPr>
                  <w:tcW w:w="3476" w:type="dxa"/>
                  <w:tcBorders>
                    <w:top w:val="nil"/>
                    <w:left w:val="nil"/>
                    <w:bottom w:val="nil"/>
                    <w:right w:val="nil"/>
                  </w:tcBorders>
                  <w:shd w:val="clear" w:color="auto" w:fill="auto"/>
                  <w:noWrap/>
                  <w:vAlign w:val="center"/>
                </w:tcPr>
                <w:p w14:paraId="3B94C21C" w14:textId="77777777" w:rsidR="004B3C9E" w:rsidRPr="009D1752" w:rsidRDefault="004B3C9E" w:rsidP="009A2AEF">
                  <w:pPr>
                    <w:rPr>
                      <w:rFonts w:eastAsia="华文楷体"/>
                      <w:b/>
                      <w:bCs/>
                      <w:color w:val="000000"/>
                      <w:sz w:val="22"/>
                      <w:szCs w:val="22"/>
                      <w:lang w:val="en-US"/>
                    </w:rPr>
                  </w:pPr>
                </w:p>
              </w:tc>
            </w:tr>
            <w:tr w:rsidR="004B3C9E" w:rsidRPr="004B3C9E" w14:paraId="57AE8033" w14:textId="77777777" w:rsidTr="009A2AEF">
              <w:trPr>
                <w:trHeight w:val="270"/>
              </w:trPr>
              <w:tc>
                <w:tcPr>
                  <w:tcW w:w="3576" w:type="dxa"/>
                  <w:tcBorders>
                    <w:top w:val="nil"/>
                    <w:left w:val="nil"/>
                    <w:bottom w:val="nil"/>
                    <w:right w:val="nil"/>
                  </w:tcBorders>
                  <w:shd w:val="clear" w:color="auto" w:fill="auto"/>
                  <w:noWrap/>
                  <w:vAlign w:val="center"/>
                  <w:hideMark/>
                </w:tcPr>
                <w:p w14:paraId="4F32A81A" w14:textId="0A6836A1" w:rsidR="004B3C9E" w:rsidRPr="009D1752" w:rsidRDefault="004B3C9E" w:rsidP="00102190">
                  <w:pPr>
                    <w:ind w:firstLineChars="100" w:firstLine="210"/>
                    <w:rPr>
                      <w:color w:val="000000"/>
                      <w:kern w:val="2"/>
                      <w:sz w:val="21"/>
                      <w:szCs w:val="21"/>
                      <w:lang w:val="en-US"/>
                    </w:rPr>
                  </w:pPr>
                  <w:r w:rsidRPr="009D1752">
                    <w:rPr>
                      <w:color w:val="000000"/>
                      <w:kern w:val="2"/>
                      <w:sz w:val="21"/>
                      <w:szCs w:val="21"/>
                      <w:lang w:val="en-US"/>
                    </w:rPr>
                    <w:t>Management Fee</w:t>
                  </w:r>
                  <w:r w:rsidR="00102190">
                    <w:rPr>
                      <w:color w:val="000000"/>
                      <w:kern w:val="2"/>
                      <w:sz w:val="21"/>
                      <w:szCs w:val="21"/>
                      <w:lang w:val="en-US"/>
                    </w:rPr>
                    <w:t>s</w:t>
                  </w:r>
                </w:p>
              </w:tc>
              <w:tc>
                <w:tcPr>
                  <w:tcW w:w="3476" w:type="dxa"/>
                  <w:tcBorders>
                    <w:top w:val="nil"/>
                    <w:left w:val="nil"/>
                    <w:bottom w:val="nil"/>
                    <w:right w:val="nil"/>
                  </w:tcBorders>
                  <w:shd w:val="clear" w:color="auto" w:fill="auto"/>
                  <w:noWrap/>
                  <w:vAlign w:val="center"/>
                  <w:hideMark/>
                </w:tcPr>
                <w:p w14:paraId="6567BC45" w14:textId="77777777" w:rsidR="004B3C9E" w:rsidRPr="009D1752" w:rsidRDefault="004B3C9E">
                  <w:pPr>
                    <w:jc w:val="center"/>
                    <w:rPr>
                      <w:color w:val="000000"/>
                      <w:kern w:val="2"/>
                      <w:sz w:val="21"/>
                      <w:szCs w:val="21"/>
                      <w:lang w:val="en-US"/>
                    </w:rPr>
                  </w:pPr>
                  <w:r w:rsidRPr="00240363">
                    <w:rPr>
                      <w:color w:val="000000"/>
                      <w:kern w:val="2"/>
                      <w:sz w:val="21"/>
                      <w:szCs w:val="21"/>
                      <w:lang w:val="en-US"/>
                    </w:rPr>
                    <w:t>39,450</w:t>
                  </w:r>
                </w:p>
              </w:tc>
            </w:tr>
            <w:tr w:rsidR="004B3C9E" w:rsidRPr="004B3C9E" w14:paraId="4280B50E" w14:textId="77777777" w:rsidTr="009A2AEF">
              <w:trPr>
                <w:trHeight w:val="270"/>
              </w:trPr>
              <w:tc>
                <w:tcPr>
                  <w:tcW w:w="3576" w:type="dxa"/>
                  <w:tcBorders>
                    <w:top w:val="nil"/>
                    <w:left w:val="nil"/>
                    <w:bottom w:val="nil"/>
                    <w:right w:val="nil"/>
                  </w:tcBorders>
                  <w:shd w:val="clear" w:color="auto" w:fill="auto"/>
                  <w:noWrap/>
                  <w:vAlign w:val="center"/>
                </w:tcPr>
                <w:p w14:paraId="5C791C43" w14:textId="77777777"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CATL Carry</w:t>
                  </w:r>
                </w:p>
              </w:tc>
              <w:tc>
                <w:tcPr>
                  <w:tcW w:w="3476" w:type="dxa"/>
                  <w:tcBorders>
                    <w:top w:val="nil"/>
                    <w:left w:val="nil"/>
                    <w:bottom w:val="nil"/>
                    <w:right w:val="nil"/>
                  </w:tcBorders>
                  <w:shd w:val="clear" w:color="auto" w:fill="auto"/>
                  <w:noWrap/>
                  <w:vAlign w:val="center"/>
                </w:tcPr>
                <w:p w14:paraId="2D3E1A39" w14:textId="77777777" w:rsidR="004B3C9E" w:rsidRPr="009D1752" w:rsidRDefault="004B3C9E">
                  <w:pPr>
                    <w:jc w:val="center"/>
                    <w:rPr>
                      <w:color w:val="000000"/>
                      <w:kern w:val="2"/>
                      <w:sz w:val="21"/>
                      <w:szCs w:val="21"/>
                      <w:lang w:val="en-US"/>
                    </w:rPr>
                  </w:pPr>
                  <w:r w:rsidRPr="009D1752">
                    <w:rPr>
                      <w:color w:val="000000"/>
                      <w:kern w:val="2"/>
                      <w:sz w:val="21"/>
                      <w:szCs w:val="21"/>
                      <w:lang w:val="en-US"/>
                    </w:rPr>
                    <w:t>47,150</w:t>
                  </w:r>
                </w:p>
              </w:tc>
            </w:tr>
            <w:tr w:rsidR="004B3C9E" w:rsidRPr="004B3C9E" w14:paraId="6D72C1B2" w14:textId="77777777" w:rsidTr="009A2AEF">
              <w:trPr>
                <w:trHeight w:val="270"/>
              </w:trPr>
              <w:tc>
                <w:tcPr>
                  <w:tcW w:w="3576" w:type="dxa"/>
                  <w:tcBorders>
                    <w:top w:val="nil"/>
                    <w:left w:val="nil"/>
                    <w:bottom w:val="nil"/>
                    <w:right w:val="nil"/>
                  </w:tcBorders>
                  <w:shd w:val="clear" w:color="auto" w:fill="auto"/>
                  <w:noWrap/>
                  <w:vAlign w:val="center"/>
                  <w:hideMark/>
                </w:tcPr>
                <w:p w14:paraId="5EAEA457" w14:textId="77777777" w:rsidR="004B3C9E" w:rsidRPr="009D1752" w:rsidRDefault="004B3C9E" w:rsidP="009A2AEF">
                  <w:pPr>
                    <w:rPr>
                      <w:rFonts w:eastAsia="华文楷体"/>
                      <w:b/>
                      <w:bCs/>
                      <w:color w:val="000000"/>
                      <w:sz w:val="22"/>
                      <w:szCs w:val="22"/>
                      <w:lang w:val="en-US"/>
                    </w:rPr>
                  </w:pPr>
                  <w:r w:rsidRPr="009D1752">
                    <w:rPr>
                      <w:b/>
                      <w:bCs/>
                      <w:color w:val="000000"/>
                      <w:kern w:val="2"/>
                      <w:sz w:val="21"/>
                      <w:szCs w:val="21"/>
                      <w:lang w:val="en-US"/>
                    </w:rPr>
                    <w:t>Total Cash Income</w:t>
                  </w:r>
                </w:p>
              </w:tc>
              <w:tc>
                <w:tcPr>
                  <w:tcW w:w="3476" w:type="dxa"/>
                  <w:tcBorders>
                    <w:top w:val="nil"/>
                    <w:left w:val="nil"/>
                    <w:bottom w:val="nil"/>
                    <w:right w:val="nil"/>
                  </w:tcBorders>
                  <w:shd w:val="clear" w:color="auto" w:fill="auto"/>
                  <w:noWrap/>
                  <w:vAlign w:val="center"/>
                  <w:hideMark/>
                </w:tcPr>
                <w:p w14:paraId="6CE377AB" w14:textId="77777777" w:rsidR="004B3C9E" w:rsidRPr="009D1752" w:rsidRDefault="004B3C9E">
                  <w:pPr>
                    <w:jc w:val="center"/>
                    <w:rPr>
                      <w:rFonts w:eastAsia="华文楷体"/>
                      <w:b/>
                      <w:bCs/>
                      <w:color w:val="000000"/>
                      <w:sz w:val="22"/>
                      <w:szCs w:val="22"/>
                      <w:lang w:val="en-US"/>
                    </w:rPr>
                  </w:pPr>
                  <w:r w:rsidRPr="009D1752">
                    <w:rPr>
                      <w:b/>
                      <w:color w:val="000000"/>
                      <w:kern w:val="2"/>
                      <w:sz w:val="21"/>
                      <w:szCs w:val="21"/>
                      <w:lang w:val="en-US"/>
                    </w:rPr>
                    <w:t>86,600</w:t>
                  </w:r>
                </w:p>
              </w:tc>
            </w:tr>
            <w:tr w:rsidR="004B3C9E" w:rsidRPr="004B3C9E" w14:paraId="648380A2" w14:textId="77777777" w:rsidTr="009A2AEF">
              <w:trPr>
                <w:trHeight w:val="270"/>
              </w:trPr>
              <w:tc>
                <w:tcPr>
                  <w:tcW w:w="3576" w:type="dxa"/>
                  <w:tcBorders>
                    <w:top w:val="nil"/>
                    <w:left w:val="nil"/>
                    <w:bottom w:val="nil"/>
                    <w:right w:val="nil"/>
                  </w:tcBorders>
                  <w:shd w:val="clear" w:color="auto" w:fill="auto"/>
                  <w:noWrap/>
                  <w:vAlign w:val="center"/>
                  <w:hideMark/>
                </w:tcPr>
                <w:p w14:paraId="667DBD20" w14:textId="77777777" w:rsidR="004B3C9E" w:rsidRPr="009D1752" w:rsidRDefault="004B3C9E" w:rsidP="009A2AEF">
                  <w:pPr>
                    <w:jc w:val="center"/>
                    <w:rPr>
                      <w:rFonts w:eastAsia="华文楷体"/>
                      <w:b/>
                      <w:bCs/>
                      <w:color w:val="000000"/>
                      <w:sz w:val="22"/>
                      <w:szCs w:val="22"/>
                      <w:lang w:val="en-US"/>
                    </w:rPr>
                  </w:pPr>
                </w:p>
              </w:tc>
              <w:tc>
                <w:tcPr>
                  <w:tcW w:w="3476" w:type="dxa"/>
                  <w:tcBorders>
                    <w:top w:val="nil"/>
                    <w:left w:val="nil"/>
                    <w:bottom w:val="nil"/>
                    <w:right w:val="nil"/>
                  </w:tcBorders>
                  <w:shd w:val="clear" w:color="auto" w:fill="auto"/>
                  <w:noWrap/>
                  <w:vAlign w:val="center"/>
                  <w:hideMark/>
                </w:tcPr>
                <w:p w14:paraId="00CD7163" w14:textId="77777777" w:rsidR="004B3C9E" w:rsidRPr="009D1752" w:rsidRDefault="004B3C9E" w:rsidP="009D1752">
                  <w:pPr>
                    <w:jc w:val="center"/>
                    <w:rPr>
                      <w:rFonts w:eastAsia="华文楷体"/>
                      <w:sz w:val="22"/>
                      <w:szCs w:val="22"/>
                      <w:lang w:val="en-US"/>
                    </w:rPr>
                  </w:pPr>
                </w:p>
              </w:tc>
            </w:tr>
            <w:tr w:rsidR="004B3C9E" w:rsidRPr="004B3C9E" w14:paraId="27631504" w14:textId="77777777" w:rsidTr="009A2AEF">
              <w:trPr>
                <w:trHeight w:val="270"/>
              </w:trPr>
              <w:tc>
                <w:tcPr>
                  <w:tcW w:w="3576" w:type="dxa"/>
                  <w:tcBorders>
                    <w:top w:val="nil"/>
                    <w:left w:val="nil"/>
                    <w:bottom w:val="nil"/>
                    <w:right w:val="nil"/>
                  </w:tcBorders>
                  <w:shd w:val="clear" w:color="auto" w:fill="auto"/>
                  <w:noWrap/>
                  <w:vAlign w:val="center"/>
                  <w:hideMark/>
                </w:tcPr>
                <w:p w14:paraId="23EAC45C" w14:textId="77777777" w:rsidR="004B3C9E" w:rsidRPr="009D1752" w:rsidRDefault="004B3C9E" w:rsidP="009A2AEF">
                  <w:pPr>
                    <w:rPr>
                      <w:rFonts w:eastAsia="华文楷体"/>
                      <w:b/>
                      <w:bCs/>
                      <w:color w:val="000000"/>
                      <w:sz w:val="22"/>
                      <w:szCs w:val="22"/>
                      <w:lang w:val="en-US"/>
                    </w:rPr>
                  </w:pPr>
                  <w:r w:rsidRPr="009D1752">
                    <w:rPr>
                      <w:b/>
                      <w:bCs/>
                      <w:color w:val="000000"/>
                      <w:kern w:val="2"/>
                      <w:sz w:val="21"/>
                      <w:szCs w:val="21"/>
                      <w:lang w:val="en-US"/>
                    </w:rPr>
                    <w:t>Cash Out</w:t>
                  </w:r>
                </w:p>
              </w:tc>
              <w:tc>
                <w:tcPr>
                  <w:tcW w:w="3476" w:type="dxa"/>
                  <w:tcBorders>
                    <w:top w:val="nil"/>
                    <w:left w:val="nil"/>
                    <w:bottom w:val="nil"/>
                    <w:right w:val="nil"/>
                  </w:tcBorders>
                  <w:shd w:val="clear" w:color="auto" w:fill="auto"/>
                  <w:noWrap/>
                  <w:vAlign w:val="center"/>
                  <w:hideMark/>
                </w:tcPr>
                <w:p w14:paraId="007BC5E2" w14:textId="77777777" w:rsidR="004B3C9E" w:rsidRPr="009D1752" w:rsidRDefault="004B3C9E" w:rsidP="009D1752">
                  <w:pPr>
                    <w:jc w:val="center"/>
                    <w:rPr>
                      <w:rFonts w:eastAsia="华文楷体"/>
                      <w:b/>
                      <w:bCs/>
                      <w:color w:val="000000"/>
                      <w:sz w:val="22"/>
                      <w:szCs w:val="22"/>
                      <w:lang w:val="en-US"/>
                    </w:rPr>
                  </w:pPr>
                </w:p>
              </w:tc>
            </w:tr>
            <w:tr w:rsidR="004B3C9E" w:rsidRPr="004B3C9E" w14:paraId="2AE10FF1" w14:textId="77777777" w:rsidTr="009A2AEF">
              <w:trPr>
                <w:trHeight w:val="270"/>
              </w:trPr>
              <w:tc>
                <w:tcPr>
                  <w:tcW w:w="3576" w:type="dxa"/>
                  <w:tcBorders>
                    <w:top w:val="nil"/>
                    <w:left w:val="nil"/>
                    <w:bottom w:val="nil"/>
                    <w:right w:val="nil"/>
                  </w:tcBorders>
                  <w:shd w:val="clear" w:color="auto" w:fill="auto"/>
                  <w:noWrap/>
                  <w:vAlign w:val="center"/>
                  <w:hideMark/>
                </w:tcPr>
                <w:p w14:paraId="1F2A10D9" w14:textId="4B78D00A" w:rsidR="004B3C9E" w:rsidRPr="009D1752" w:rsidRDefault="004B3C9E" w:rsidP="009D1752">
                  <w:pPr>
                    <w:ind w:leftChars="100" w:left="345" w:hangingChars="50" w:hanging="105"/>
                    <w:rPr>
                      <w:color w:val="000000"/>
                      <w:kern w:val="2"/>
                      <w:sz w:val="21"/>
                      <w:szCs w:val="21"/>
                      <w:lang w:val="en-US"/>
                    </w:rPr>
                  </w:pPr>
                  <w:r w:rsidRPr="009D1752">
                    <w:rPr>
                      <w:color w:val="000000"/>
                      <w:kern w:val="2"/>
                      <w:sz w:val="21"/>
                      <w:szCs w:val="21"/>
                      <w:lang w:val="en-US"/>
                    </w:rPr>
                    <w:t>Sinopec Co-GP consultant fee &amp;</w:t>
                  </w:r>
                  <w:r w:rsidR="00E065DE">
                    <w:rPr>
                      <w:color w:val="000000"/>
                      <w:kern w:val="2"/>
                      <w:sz w:val="21"/>
                      <w:szCs w:val="21"/>
                      <w:lang w:val="en-US"/>
                    </w:rPr>
                    <w:t xml:space="preserve"> </w:t>
                  </w:r>
                  <w:r w:rsidRPr="009D1752">
                    <w:rPr>
                      <w:color w:val="000000"/>
                      <w:kern w:val="2"/>
                      <w:sz w:val="21"/>
                      <w:szCs w:val="21"/>
                      <w:lang w:val="en-US"/>
                    </w:rPr>
                    <w:t>Fund Amortization</w:t>
                  </w:r>
                </w:p>
              </w:tc>
              <w:tc>
                <w:tcPr>
                  <w:tcW w:w="3476" w:type="dxa"/>
                  <w:tcBorders>
                    <w:top w:val="nil"/>
                    <w:left w:val="nil"/>
                    <w:bottom w:val="nil"/>
                    <w:right w:val="nil"/>
                  </w:tcBorders>
                  <w:shd w:val="clear" w:color="auto" w:fill="auto"/>
                  <w:noWrap/>
                  <w:vAlign w:val="center"/>
                  <w:hideMark/>
                </w:tcPr>
                <w:p w14:paraId="2BD5245F" w14:textId="77777777" w:rsidR="004B3C9E" w:rsidRPr="009D1752" w:rsidRDefault="004B3C9E">
                  <w:pPr>
                    <w:jc w:val="center"/>
                    <w:rPr>
                      <w:color w:val="000000"/>
                      <w:kern w:val="2"/>
                      <w:sz w:val="21"/>
                      <w:szCs w:val="21"/>
                      <w:lang w:val="en-US"/>
                    </w:rPr>
                  </w:pPr>
                  <w:r w:rsidRPr="009D1752">
                    <w:rPr>
                      <w:color w:val="000000"/>
                      <w:kern w:val="2"/>
                      <w:sz w:val="21"/>
                      <w:szCs w:val="21"/>
                      <w:lang w:val="en-US"/>
                    </w:rPr>
                    <w:t>7,310</w:t>
                  </w:r>
                </w:p>
              </w:tc>
            </w:tr>
            <w:tr w:rsidR="004B3C9E" w:rsidRPr="004B3C9E" w14:paraId="6B42EFE1" w14:textId="77777777" w:rsidTr="009A2AEF">
              <w:trPr>
                <w:trHeight w:val="270"/>
              </w:trPr>
              <w:tc>
                <w:tcPr>
                  <w:tcW w:w="3576" w:type="dxa"/>
                  <w:tcBorders>
                    <w:top w:val="nil"/>
                    <w:left w:val="nil"/>
                    <w:bottom w:val="nil"/>
                    <w:right w:val="nil"/>
                  </w:tcBorders>
                  <w:shd w:val="clear" w:color="auto" w:fill="auto"/>
                  <w:noWrap/>
                  <w:vAlign w:val="center"/>
                </w:tcPr>
                <w:p w14:paraId="172D4DF5" w14:textId="5B04879E"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 xml:space="preserve">Interest </w:t>
                  </w:r>
                  <w:r w:rsidR="00102190">
                    <w:rPr>
                      <w:color w:val="000000"/>
                      <w:kern w:val="2"/>
                      <w:sz w:val="21"/>
                      <w:szCs w:val="21"/>
                      <w:lang w:val="en-US"/>
                    </w:rPr>
                    <w:t xml:space="preserve">under Project </w:t>
                  </w:r>
                  <w:r w:rsidRPr="009D1752">
                    <w:rPr>
                      <w:color w:val="000000"/>
                      <w:kern w:val="2"/>
                      <w:sz w:val="21"/>
                      <w:szCs w:val="21"/>
                      <w:lang w:val="en-US"/>
                    </w:rPr>
                    <w:t>Hanson</w:t>
                  </w:r>
                </w:p>
              </w:tc>
              <w:tc>
                <w:tcPr>
                  <w:tcW w:w="3476" w:type="dxa"/>
                  <w:tcBorders>
                    <w:top w:val="nil"/>
                    <w:left w:val="nil"/>
                    <w:bottom w:val="nil"/>
                    <w:right w:val="nil"/>
                  </w:tcBorders>
                  <w:shd w:val="clear" w:color="auto" w:fill="auto"/>
                  <w:noWrap/>
                  <w:vAlign w:val="center"/>
                </w:tcPr>
                <w:p w14:paraId="40147114" w14:textId="77777777" w:rsidR="004B3C9E" w:rsidRPr="009D1752" w:rsidRDefault="004B3C9E" w:rsidP="009D1752">
                  <w:pPr>
                    <w:ind w:firstLineChars="650" w:firstLine="1365"/>
                    <w:rPr>
                      <w:color w:val="000000"/>
                      <w:kern w:val="2"/>
                      <w:sz w:val="21"/>
                      <w:szCs w:val="21"/>
                      <w:lang w:val="en-US"/>
                    </w:rPr>
                  </w:pPr>
                  <w:r w:rsidRPr="009D1752">
                    <w:rPr>
                      <w:color w:val="000000"/>
                      <w:kern w:val="2"/>
                      <w:sz w:val="21"/>
                      <w:szCs w:val="21"/>
                      <w:lang w:val="en-US"/>
                    </w:rPr>
                    <w:t>15,000</w:t>
                  </w:r>
                </w:p>
              </w:tc>
            </w:tr>
            <w:tr w:rsidR="004B3C9E" w:rsidRPr="004B3C9E" w14:paraId="55CB3F63" w14:textId="77777777" w:rsidTr="009A2AEF">
              <w:trPr>
                <w:trHeight w:val="270"/>
              </w:trPr>
              <w:tc>
                <w:tcPr>
                  <w:tcW w:w="3576" w:type="dxa"/>
                  <w:tcBorders>
                    <w:top w:val="nil"/>
                    <w:left w:val="nil"/>
                    <w:bottom w:val="nil"/>
                    <w:right w:val="nil"/>
                  </w:tcBorders>
                  <w:shd w:val="clear" w:color="auto" w:fill="auto"/>
                  <w:noWrap/>
                  <w:vAlign w:val="center"/>
                  <w:hideMark/>
                </w:tcPr>
                <w:p w14:paraId="01F98A92" w14:textId="57D39D07" w:rsidR="004B3C9E" w:rsidRPr="009D1752" w:rsidRDefault="004B3C9E" w:rsidP="00E065DE">
                  <w:pPr>
                    <w:ind w:firstLineChars="100" w:firstLine="210"/>
                    <w:rPr>
                      <w:color w:val="000000"/>
                      <w:kern w:val="2"/>
                      <w:sz w:val="21"/>
                      <w:szCs w:val="21"/>
                      <w:lang w:val="en-US"/>
                    </w:rPr>
                  </w:pPr>
                  <w:r w:rsidRPr="009D1752">
                    <w:rPr>
                      <w:color w:val="000000"/>
                      <w:kern w:val="2"/>
                      <w:sz w:val="21"/>
                      <w:szCs w:val="21"/>
                      <w:lang w:val="en-US"/>
                    </w:rPr>
                    <w:t xml:space="preserve">Wanda Fund </w:t>
                  </w:r>
                  <w:r w:rsidR="00E065DE">
                    <w:rPr>
                      <w:color w:val="000000"/>
                      <w:kern w:val="2"/>
                      <w:sz w:val="21"/>
                      <w:szCs w:val="21"/>
                      <w:lang w:val="en-US"/>
                    </w:rPr>
                    <w:t>Fundraising / Placement Fees</w:t>
                  </w:r>
                </w:p>
              </w:tc>
              <w:tc>
                <w:tcPr>
                  <w:tcW w:w="3476" w:type="dxa"/>
                  <w:tcBorders>
                    <w:top w:val="nil"/>
                    <w:left w:val="nil"/>
                    <w:bottom w:val="nil"/>
                    <w:right w:val="nil"/>
                  </w:tcBorders>
                  <w:shd w:val="clear" w:color="auto" w:fill="auto"/>
                  <w:noWrap/>
                  <w:vAlign w:val="center"/>
                  <w:hideMark/>
                </w:tcPr>
                <w:p w14:paraId="5D45B205" w14:textId="07F39DB6" w:rsidR="004B3C9E" w:rsidRPr="009D1752" w:rsidRDefault="004B3C9E">
                  <w:pPr>
                    <w:jc w:val="center"/>
                    <w:rPr>
                      <w:color w:val="000000"/>
                      <w:kern w:val="2"/>
                      <w:sz w:val="21"/>
                      <w:szCs w:val="21"/>
                      <w:lang w:val="en-US"/>
                    </w:rPr>
                  </w:pPr>
                  <w:r w:rsidRPr="009D1752">
                    <w:rPr>
                      <w:color w:val="000000"/>
                      <w:kern w:val="2"/>
                      <w:sz w:val="21"/>
                      <w:szCs w:val="21"/>
                      <w:lang w:val="en-US"/>
                    </w:rPr>
                    <w:t>206</w:t>
                  </w:r>
                </w:p>
              </w:tc>
            </w:tr>
            <w:tr w:rsidR="004B3C9E" w:rsidRPr="004B3C9E" w14:paraId="75EBEED4" w14:textId="77777777" w:rsidTr="009A2AEF">
              <w:trPr>
                <w:trHeight w:val="270"/>
              </w:trPr>
              <w:tc>
                <w:tcPr>
                  <w:tcW w:w="3576" w:type="dxa"/>
                  <w:tcBorders>
                    <w:top w:val="nil"/>
                    <w:left w:val="nil"/>
                    <w:bottom w:val="nil"/>
                    <w:right w:val="nil"/>
                  </w:tcBorders>
                  <w:shd w:val="clear" w:color="auto" w:fill="auto"/>
                  <w:noWrap/>
                  <w:vAlign w:val="center"/>
                </w:tcPr>
                <w:p w14:paraId="714B9413" w14:textId="6C3BED35" w:rsidR="004B3C9E" w:rsidRPr="009D1752" w:rsidRDefault="00E065DE" w:rsidP="009A2AEF">
                  <w:pPr>
                    <w:ind w:firstLineChars="100" w:firstLine="210"/>
                    <w:rPr>
                      <w:color w:val="000000"/>
                      <w:kern w:val="2"/>
                      <w:sz w:val="21"/>
                      <w:szCs w:val="21"/>
                      <w:lang w:val="en-US"/>
                    </w:rPr>
                  </w:pPr>
                  <w:r>
                    <w:rPr>
                      <w:color w:val="000000"/>
                      <w:kern w:val="2"/>
                      <w:sz w:val="21"/>
                      <w:szCs w:val="21"/>
                      <w:lang w:val="en-US"/>
                    </w:rPr>
                    <w:t>Interest</w:t>
                  </w:r>
                  <w:r w:rsidRPr="009D1752">
                    <w:rPr>
                      <w:color w:val="000000"/>
                      <w:kern w:val="2"/>
                      <w:sz w:val="21"/>
                      <w:szCs w:val="21"/>
                      <w:lang w:val="en-US"/>
                    </w:rPr>
                    <w:t xml:space="preserve"> </w:t>
                  </w:r>
                  <w:r w:rsidR="004B3C9E" w:rsidRPr="009D1752">
                    <w:rPr>
                      <w:color w:val="000000"/>
                      <w:kern w:val="2"/>
                      <w:sz w:val="21"/>
                      <w:szCs w:val="21"/>
                      <w:lang w:val="en-US"/>
                    </w:rPr>
                    <w:t>Expenses</w:t>
                  </w:r>
                </w:p>
              </w:tc>
              <w:tc>
                <w:tcPr>
                  <w:tcW w:w="3476" w:type="dxa"/>
                  <w:tcBorders>
                    <w:top w:val="nil"/>
                    <w:left w:val="nil"/>
                    <w:bottom w:val="nil"/>
                    <w:right w:val="nil"/>
                  </w:tcBorders>
                  <w:shd w:val="clear" w:color="auto" w:fill="auto"/>
                  <w:noWrap/>
                  <w:vAlign w:val="center"/>
                </w:tcPr>
                <w:p w14:paraId="7B7C984E" w14:textId="27F60930" w:rsidR="004B3C9E" w:rsidRPr="009D1752" w:rsidRDefault="004B3C9E">
                  <w:pPr>
                    <w:jc w:val="center"/>
                    <w:rPr>
                      <w:color w:val="000000"/>
                      <w:kern w:val="2"/>
                      <w:sz w:val="21"/>
                      <w:szCs w:val="21"/>
                      <w:lang w:val="en-US"/>
                    </w:rPr>
                  </w:pPr>
                  <w:r w:rsidRPr="009D1752">
                    <w:rPr>
                      <w:color w:val="000000"/>
                      <w:kern w:val="2"/>
                      <w:sz w:val="21"/>
                      <w:szCs w:val="21"/>
                      <w:lang w:val="en-US"/>
                    </w:rPr>
                    <w:t>540</w:t>
                  </w:r>
                </w:p>
              </w:tc>
            </w:tr>
            <w:tr w:rsidR="004B3C9E" w:rsidRPr="004B3C9E" w14:paraId="1686312B" w14:textId="77777777" w:rsidTr="009A2AEF">
              <w:trPr>
                <w:trHeight w:val="270"/>
              </w:trPr>
              <w:tc>
                <w:tcPr>
                  <w:tcW w:w="3576" w:type="dxa"/>
                  <w:tcBorders>
                    <w:top w:val="nil"/>
                    <w:left w:val="nil"/>
                    <w:bottom w:val="nil"/>
                    <w:right w:val="nil"/>
                  </w:tcBorders>
                  <w:shd w:val="clear" w:color="auto" w:fill="auto"/>
                  <w:noWrap/>
                  <w:vAlign w:val="center"/>
                  <w:hideMark/>
                </w:tcPr>
                <w:p w14:paraId="77363D03" w14:textId="77777777"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VAT Tax</w:t>
                  </w:r>
                </w:p>
              </w:tc>
              <w:tc>
                <w:tcPr>
                  <w:tcW w:w="3476" w:type="dxa"/>
                  <w:tcBorders>
                    <w:top w:val="nil"/>
                    <w:left w:val="nil"/>
                    <w:bottom w:val="nil"/>
                    <w:right w:val="nil"/>
                  </w:tcBorders>
                  <w:shd w:val="clear" w:color="auto" w:fill="auto"/>
                  <w:noWrap/>
                  <w:vAlign w:val="center"/>
                  <w:hideMark/>
                </w:tcPr>
                <w:p w14:paraId="76CFA1FC" w14:textId="77777777" w:rsidR="004B3C9E" w:rsidRPr="009D1752" w:rsidRDefault="004B3C9E">
                  <w:pPr>
                    <w:jc w:val="center"/>
                    <w:rPr>
                      <w:color w:val="000000"/>
                      <w:kern w:val="2"/>
                      <w:sz w:val="21"/>
                      <w:szCs w:val="21"/>
                      <w:lang w:val="en-US"/>
                    </w:rPr>
                  </w:pPr>
                  <w:r w:rsidRPr="009D1752">
                    <w:rPr>
                      <w:color w:val="000000"/>
                      <w:kern w:val="2"/>
                      <w:sz w:val="21"/>
                      <w:szCs w:val="21"/>
                      <w:lang w:val="en-US"/>
                    </w:rPr>
                    <w:t>1,800</w:t>
                  </w:r>
                </w:p>
              </w:tc>
            </w:tr>
            <w:tr w:rsidR="004B3C9E" w:rsidRPr="004B3C9E" w14:paraId="47E7BF11" w14:textId="77777777" w:rsidTr="009A2AEF">
              <w:trPr>
                <w:trHeight w:val="270"/>
              </w:trPr>
              <w:tc>
                <w:tcPr>
                  <w:tcW w:w="3576" w:type="dxa"/>
                  <w:tcBorders>
                    <w:top w:val="nil"/>
                    <w:left w:val="nil"/>
                    <w:bottom w:val="nil"/>
                    <w:right w:val="nil"/>
                  </w:tcBorders>
                  <w:shd w:val="clear" w:color="auto" w:fill="auto"/>
                  <w:noWrap/>
                  <w:vAlign w:val="center"/>
                  <w:hideMark/>
                </w:tcPr>
                <w:p w14:paraId="3518F266" w14:textId="77777777"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Payroll Cost</w:t>
                  </w:r>
                </w:p>
              </w:tc>
              <w:tc>
                <w:tcPr>
                  <w:tcW w:w="3476" w:type="dxa"/>
                  <w:tcBorders>
                    <w:top w:val="nil"/>
                    <w:left w:val="nil"/>
                    <w:bottom w:val="nil"/>
                    <w:right w:val="nil"/>
                  </w:tcBorders>
                  <w:shd w:val="clear" w:color="auto" w:fill="auto"/>
                  <w:noWrap/>
                  <w:vAlign w:val="center"/>
                  <w:hideMark/>
                </w:tcPr>
                <w:p w14:paraId="1917FA3D" w14:textId="77777777" w:rsidR="004B3C9E" w:rsidRPr="009D1752" w:rsidRDefault="004B3C9E">
                  <w:pPr>
                    <w:jc w:val="center"/>
                    <w:rPr>
                      <w:color w:val="000000"/>
                      <w:kern w:val="2"/>
                      <w:sz w:val="21"/>
                      <w:szCs w:val="21"/>
                      <w:lang w:val="en-US"/>
                    </w:rPr>
                  </w:pPr>
                  <w:r w:rsidRPr="009D1752">
                    <w:rPr>
                      <w:color w:val="000000"/>
                      <w:kern w:val="2"/>
                      <w:sz w:val="21"/>
                      <w:szCs w:val="21"/>
                      <w:lang w:val="en-US"/>
                    </w:rPr>
                    <w:t>26,150</w:t>
                  </w:r>
                </w:p>
              </w:tc>
            </w:tr>
            <w:tr w:rsidR="004B3C9E" w:rsidRPr="004B3C9E" w14:paraId="5ED57DC6" w14:textId="77777777" w:rsidTr="009A2AEF">
              <w:trPr>
                <w:trHeight w:val="270"/>
              </w:trPr>
              <w:tc>
                <w:tcPr>
                  <w:tcW w:w="3576" w:type="dxa"/>
                  <w:tcBorders>
                    <w:top w:val="nil"/>
                    <w:left w:val="nil"/>
                    <w:bottom w:val="nil"/>
                    <w:right w:val="nil"/>
                  </w:tcBorders>
                  <w:shd w:val="clear" w:color="auto" w:fill="auto"/>
                  <w:noWrap/>
                  <w:vAlign w:val="center"/>
                </w:tcPr>
                <w:p w14:paraId="2099BEE7" w14:textId="649B0768"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Staff benefit</w:t>
                  </w:r>
                  <w:r w:rsidR="00E82645">
                    <w:rPr>
                      <w:color w:val="000000"/>
                      <w:kern w:val="2"/>
                      <w:sz w:val="21"/>
                      <w:szCs w:val="21"/>
                      <w:lang w:val="en-US"/>
                    </w:rPr>
                    <w:t>s</w:t>
                  </w:r>
                </w:p>
              </w:tc>
              <w:tc>
                <w:tcPr>
                  <w:tcW w:w="3476" w:type="dxa"/>
                  <w:tcBorders>
                    <w:top w:val="nil"/>
                    <w:left w:val="nil"/>
                    <w:bottom w:val="nil"/>
                    <w:right w:val="nil"/>
                  </w:tcBorders>
                  <w:shd w:val="clear" w:color="auto" w:fill="auto"/>
                  <w:noWrap/>
                  <w:vAlign w:val="center"/>
                </w:tcPr>
                <w:p w14:paraId="453D6195" w14:textId="77777777" w:rsidR="004B3C9E" w:rsidRPr="009D1752" w:rsidRDefault="004B3C9E">
                  <w:pPr>
                    <w:jc w:val="center"/>
                    <w:rPr>
                      <w:color w:val="000000"/>
                      <w:kern w:val="2"/>
                      <w:sz w:val="21"/>
                      <w:szCs w:val="21"/>
                      <w:lang w:val="en-US"/>
                    </w:rPr>
                  </w:pPr>
                  <w:r w:rsidRPr="009D1752">
                    <w:rPr>
                      <w:color w:val="000000"/>
                      <w:kern w:val="2"/>
                      <w:sz w:val="21"/>
                      <w:szCs w:val="21"/>
                      <w:lang w:val="en-US"/>
                    </w:rPr>
                    <w:t>1,220</w:t>
                  </w:r>
                </w:p>
              </w:tc>
            </w:tr>
            <w:tr w:rsidR="004B3C9E" w:rsidRPr="004B3C9E" w14:paraId="7224B556" w14:textId="77777777" w:rsidTr="009A2AEF">
              <w:trPr>
                <w:trHeight w:val="270"/>
              </w:trPr>
              <w:tc>
                <w:tcPr>
                  <w:tcW w:w="3576" w:type="dxa"/>
                  <w:tcBorders>
                    <w:top w:val="nil"/>
                    <w:left w:val="nil"/>
                    <w:bottom w:val="nil"/>
                    <w:right w:val="nil"/>
                  </w:tcBorders>
                  <w:shd w:val="clear" w:color="auto" w:fill="auto"/>
                  <w:noWrap/>
                  <w:vAlign w:val="center"/>
                </w:tcPr>
                <w:p w14:paraId="3F46FD4E" w14:textId="77777777"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Legal fees</w:t>
                  </w:r>
                </w:p>
              </w:tc>
              <w:tc>
                <w:tcPr>
                  <w:tcW w:w="3476" w:type="dxa"/>
                  <w:tcBorders>
                    <w:top w:val="nil"/>
                    <w:left w:val="nil"/>
                    <w:bottom w:val="nil"/>
                    <w:right w:val="nil"/>
                  </w:tcBorders>
                  <w:shd w:val="clear" w:color="auto" w:fill="auto"/>
                  <w:noWrap/>
                  <w:vAlign w:val="center"/>
                </w:tcPr>
                <w:p w14:paraId="21707427" w14:textId="1EC7C976" w:rsidR="004B3C9E" w:rsidRPr="009D1752" w:rsidRDefault="004B3C9E">
                  <w:pPr>
                    <w:jc w:val="center"/>
                    <w:rPr>
                      <w:color w:val="000000"/>
                      <w:kern w:val="2"/>
                      <w:sz w:val="21"/>
                      <w:szCs w:val="21"/>
                      <w:lang w:val="en-US"/>
                    </w:rPr>
                  </w:pPr>
                  <w:r w:rsidRPr="009D1752">
                    <w:rPr>
                      <w:color w:val="000000"/>
                      <w:kern w:val="2"/>
                      <w:sz w:val="21"/>
                      <w:szCs w:val="21"/>
                      <w:lang w:val="en-US"/>
                    </w:rPr>
                    <w:t>600</w:t>
                  </w:r>
                </w:p>
              </w:tc>
            </w:tr>
            <w:tr w:rsidR="004B3C9E" w:rsidRPr="004B3C9E" w14:paraId="35CA20FA" w14:textId="77777777" w:rsidTr="009A2AEF">
              <w:trPr>
                <w:trHeight w:val="270"/>
              </w:trPr>
              <w:tc>
                <w:tcPr>
                  <w:tcW w:w="3576" w:type="dxa"/>
                  <w:tcBorders>
                    <w:top w:val="nil"/>
                    <w:left w:val="nil"/>
                    <w:bottom w:val="nil"/>
                    <w:right w:val="nil"/>
                  </w:tcBorders>
                  <w:shd w:val="clear" w:color="auto" w:fill="auto"/>
                  <w:noWrap/>
                  <w:vAlign w:val="center"/>
                  <w:hideMark/>
                </w:tcPr>
                <w:p w14:paraId="054D94CA" w14:textId="2A780A6F"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Project Development Expense</w:t>
                  </w:r>
                  <w:r w:rsidR="00E82645">
                    <w:rPr>
                      <w:color w:val="000000"/>
                      <w:kern w:val="2"/>
                      <w:sz w:val="21"/>
                      <w:szCs w:val="21"/>
                      <w:lang w:val="en-US"/>
                    </w:rPr>
                    <w:t>s</w:t>
                  </w:r>
                </w:p>
              </w:tc>
              <w:tc>
                <w:tcPr>
                  <w:tcW w:w="3476" w:type="dxa"/>
                  <w:tcBorders>
                    <w:top w:val="nil"/>
                    <w:left w:val="nil"/>
                    <w:bottom w:val="nil"/>
                    <w:right w:val="nil"/>
                  </w:tcBorders>
                  <w:shd w:val="clear" w:color="auto" w:fill="auto"/>
                  <w:noWrap/>
                  <w:vAlign w:val="center"/>
                  <w:hideMark/>
                </w:tcPr>
                <w:p w14:paraId="0C51B645" w14:textId="77777777" w:rsidR="004B3C9E" w:rsidRPr="009D1752" w:rsidRDefault="004B3C9E">
                  <w:pPr>
                    <w:jc w:val="center"/>
                    <w:rPr>
                      <w:color w:val="000000"/>
                      <w:kern w:val="2"/>
                      <w:sz w:val="21"/>
                      <w:szCs w:val="21"/>
                      <w:lang w:val="en-US"/>
                    </w:rPr>
                  </w:pPr>
                  <w:r w:rsidRPr="009D1752">
                    <w:rPr>
                      <w:color w:val="000000"/>
                      <w:kern w:val="2"/>
                      <w:sz w:val="21"/>
                      <w:szCs w:val="21"/>
                      <w:lang w:val="en-US"/>
                    </w:rPr>
                    <w:t>4,800</w:t>
                  </w:r>
                </w:p>
              </w:tc>
            </w:tr>
            <w:tr w:rsidR="004B3C9E" w:rsidRPr="004B3C9E" w14:paraId="7441F9D5" w14:textId="77777777" w:rsidTr="009A2AEF">
              <w:trPr>
                <w:trHeight w:val="270"/>
              </w:trPr>
              <w:tc>
                <w:tcPr>
                  <w:tcW w:w="3576" w:type="dxa"/>
                  <w:tcBorders>
                    <w:top w:val="nil"/>
                    <w:left w:val="nil"/>
                    <w:bottom w:val="nil"/>
                    <w:right w:val="nil"/>
                  </w:tcBorders>
                  <w:shd w:val="clear" w:color="auto" w:fill="auto"/>
                  <w:noWrap/>
                  <w:vAlign w:val="center"/>
                  <w:hideMark/>
                </w:tcPr>
                <w:p w14:paraId="265FDB3B" w14:textId="77777777"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 xml:space="preserve">Office Rental &amp; Property </w:t>
                  </w:r>
                </w:p>
              </w:tc>
              <w:tc>
                <w:tcPr>
                  <w:tcW w:w="3476" w:type="dxa"/>
                  <w:tcBorders>
                    <w:top w:val="nil"/>
                    <w:left w:val="nil"/>
                    <w:bottom w:val="nil"/>
                    <w:right w:val="nil"/>
                  </w:tcBorders>
                  <w:shd w:val="clear" w:color="auto" w:fill="auto"/>
                  <w:noWrap/>
                  <w:vAlign w:val="center"/>
                  <w:hideMark/>
                </w:tcPr>
                <w:p w14:paraId="466A3A0E" w14:textId="77777777" w:rsidR="004B3C9E" w:rsidRPr="009D1752" w:rsidRDefault="004B3C9E">
                  <w:pPr>
                    <w:jc w:val="center"/>
                    <w:rPr>
                      <w:color w:val="000000"/>
                      <w:kern w:val="2"/>
                      <w:sz w:val="21"/>
                      <w:szCs w:val="21"/>
                      <w:lang w:val="en-US"/>
                    </w:rPr>
                  </w:pPr>
                  <w:r w:rsidRPr="009D1752">
                    <w:rPr>
                      <w:color w:val="000000"/>
                      <w:kern w:val="2"/>
                      <w:sz w:val="21"/>
                      <w:szCs w:val="21"/>
                      <w:lang w:val="en-US"/>
                    </w:rPr>
                    <w:t>3,600</w:t>
                  </w:r>
                </w:p>
              </w:tc>
            </w:tr>
            <w:tr w:rsidR="004B3C9E" w:rsidRPr="004B3C9E" w14:paraId="728EDDF5" w14:textId="77777777" w:rsidTr="009A2AEF">
              <w:trPr>
                <w:trHeight w:val="270"/>
              </w:trPr>
              <w:tc>
                <w:tcPr>
                  <w:tcW w:w="3576" w:type="dxa"/>
                  <w:tcBorders>
                    <w:top w:val="nil"/>
                    <w:left w:val="nil"/>
                    <w:bottom w:val="nil"/>
                    <w:right w:val="nil"/>
                  </w:tcBorders>
                  <w:shd w:val="clear" w:color="auto" w:fill="auto"/>
                  <w:noWrap/>
                  <w:vAlign w:val="center"/>
                  <w:hideMark/>
                </w:tcPr>
                <w:p w14:paraId="221A5CE9" w14:textId="5A34FC25" w:rsidR="004B3C9E" w:rsidRPr="009D1752" w:rsidRDefault="004B3C9E" w:rsidP="009A2AEF">
                  <w:pPr>
                    <w:rPr>
                      <w:color w:val="000000"/>
                      <w:kern w:val="2"/>
                      <w:sz w:val="21"/>
                      <w:szCs w:val="21"/>
                      <w:lang w:val="en-US"/>
                    </w:rPr>
                  </w:pPr>
                  <w:r w:rsidRPr="009D1752">
                    <w:rPr>
                      <w:color w:val="000000"/>
                      <w:kern w:val="2"/>
                      <w:sz w:val="21"/>
                      <w:szCs w:val="21"/>
                      <w:lang w:val="en-US"/>
                    </w:rPr>
                    <w:t xml:space="preserve">  Office &amp; Admin Expense</w:t>
                  </w:r>
                  <w:r w:rsidR="00E82645">
                    <w:rPr>
                      <w:color w:val="000000"/>
                      <w:kern w:val="2"/>
                      <w:sz w:val="21"/>
                      <w:szCs w:val="21"/>
                      <w:lang w:val="en-US"/>
                    </w:rPr>
                    <w:t>s</w:t>
                  </w:r>
                </w:p>
              </w:tc>
              <w:tc>
                <w:tcPr>
                  <w:tcW w:w="3476" w:type="dxa"/>
                  <w:tcBorders>
                    <w:top w:val="nil"/>
                    <w:left w:val="nil"/>
                    <w:bottom w:val="nil"/>
                    <w:right w:val="nil"/>
                  </w:tcBorders>
                  <w:shd w:val="clear" w:color="auto" w:fill="auto"/>
                  <w:noWrap/>
                  <w:vAlign w:val="center"/>
                  <w:hideMark/>
                </w:tcPr>
                <w:p w14:paraId="686B2C49" w14:textId="7188743A" w:rsidR="004B3C9E" w:rsidRPr="009D1752" w:rsidRDefault="004B3C9E">
                  <w:pPr>
                    <w:jc w:val="center"/>
                    <w:rPr>
                      <w:color w:val="000000"/>
                      <w:kern w:val="2"/>
                      <w:sz w:val="21"/>
                      <w:szCs w:val="21"/>
                      <w:lang w:val="en-US"/>
                    </w:rPr>
                  </w:pPr>
                  <w:r w:rsidRPr="009D1752">
                    <w:rPr>
                      <w:color w:val="000000"/>
                      <w:kern w:val="2"/>
                      <w:sz w:val="21"/>
                      <w:szCs w:val="21"/>
                      <w:lang w:val="en-US"/>
                    </w:rPr>
                    <w:t>960</w:t>
                  </w:r>
                </w:p>
              </w:tc>
            </w:tr>
            <w:tr w:rsidR="004B3C9E" w:rsidRPr="004B3C9E" w14:paraId="7AAC8B36" w14:textId="77777777" w:rsidTr="009A2AEF">
              <w:trPr>
                <w:trHeight w:val="270"/>
              </w:trPr>
              <w:tc>
                <w:tcPr>
                  <w:tcW w:w="3576" w:type="dxa"/>
                  <w:tcBorders>
                    <w:top w:val="nil"/>
                    <w:left w:val="nil"/>
                    <w:bottom w:val="nil"/>
                    <w:right w:val="nil"/>
                  </w:tcBorders>
                  <w:shd w:val="clear" w:color="auto" w:fill="auto"/>
                  <w:noWrap/>
                  <w:vAlign w:val="center"/>
                </w:tcPr>
                <w:p w14:paraId="6DE6005B" w14:textId="77777777"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Audit Fees</w:t>
                  </w:r>
                </w:p>
              </w:tc>
              <w:tc>
                <w:tcPr>
                  <w:tcW w:w="3476" w:type="dxa"/>
                  <w:tcBorders>
                    <w:top w:val="nil"/>
                    <w:left w:val="nil"/>
                    <w:bottom w:val="nil"/>
                    <w:right w:val="nil"/>
                  </w:tcBorders>
                  <w:shd w:val="clear" w:color="auto" w:fill="auto"/>
                  <w:noWrap/>
                  <w:vAlign w:val="center"/>
                </w:tcPr>
                <w:p w14:paraId="2BA882BE" w14:textId="1ADFD666" w:rsidR="004B3C9E" w:rsidRPr="009D1752" w:rsidRDefault="004B3C9E">
                  <w:pPr>
                    <w:jc w:val="center"/>
                    <w:rPr>
                      <w:color w:val="000000"/>
                      <w:kern w:val="2"/>
                      <w:sz w:val="21"/>
                      <w:szCs w:val="21"/>
                      <w:lang w:val="en-US"/>
                    </w:rPr>
                  </w:pPr>
                  <w:r w:rsidRPr="009D1752">
                    <w:rPr>
                      <w:color w:val="000000"/>
                      <w:kern w:val="2"/>
                      <w:sz w:val="21"/>
                      <w:szCs w:val="21"/>
                      <w:lang w:val="en-US"/>
                    </w:rPr>
                    <w:t>400</w:t>
                  </w:r>
                </w:p>
              </w:tc>
            </w:tr>
            <w:tr w:rsidR="004B3C9E" w:rsidRPr="004B3C9E" w14:paraId="3730BF75" w14:textId="77777777" w:rsidTr="009A2AEF">
              <w:trPr>
                <w:trHeight w:val="270"/>
              </w:trPr>
              <w:tc>
                <w:tcPr>
                  <w:tcW w:w="3576" w:type="dxa"/>
                  <w:tcBorders>
                    <w:top w:val="nil"/>
                    <w:left w:val="nil"/>
                    <w:bottom w:val="nil"/>
                    <w:right w:val="nil"/>
                  </w:tcBorders>
                  <w:shd w:val="clear" w:color="auto" w:fill="auto"/>
                  <w:noWrap/>
                  <w:vAlign w:val="center"/>
                </w:tcPr>
                <w:p w14:paraId="48658ECD" w14:textId="77777777"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Other Consulting Fees</w:t>
                  </w:r>
                </w:p>
              </w:tc>
              <w:tc>
                <w:tcPr>
                  <w:tcW w:w="3476" w:type="dxa"/>
                  <w:tcBorders>
                    <w:top w:val="nil"/>
                    <w:left w:val="nil"/>
                    <w:bottom w:val="nil"/>
                    <w:right w:val="nil"/>
                  </w:tcBorders>
                  <w:shd w:val="clear" w:color="auto" w:fill="auto"/>
                  <w:noWrap/>
                  <w:vAlign w:val="center"/>
                </w:tcPr>
                <w:p w14:paraId="7B2435CC" w14:textId="1830CE50" w:rsidR="004B3C9E" w:rsidRPr="009D1752" w:rsidRDefault="004B3C9E">
                  <w:pPr>
                    <w:jc w:val="center"/>
                    <w:rPr>
                      <w:color w:val="000000"/>
                      <w:kern w:val="2"/>
                      <w:sz w:val="21"/>
                      <w:szCs w:val="21"/>
                      <w:lang w:val="en-US"/>
                    </w:rPr>
                  </w:pPr>
                  <w:r w:rsidRPr="009D1752">
                    <w:rPr>
                      <w:color w:val="000000"/>
                      <w:kern w:val="2"/>
                      <w:sz w:val="21"/>
                      <w:szCs w:val="21"/>
                      <w:lang w:val="en-US"/>
                    </w:rPr>
                    <w:t>600</w:t>
                  </w:r>
                </w:p>
              </w:tc>
            </w:tr>
            <w:tr w:rsidR="004B3C9E" w:rsidRPr="004B3C9E" w14:paraId="6CB5AA35" w14:textId="77777777" w:rsidTr="009A2AEF">
              <w:trPr>
                <w:trHeight w:val="270"/>
              </w:trPr>
              <w:tc>
                <w:tcPr>
                  <w:tcW w:w="3576" w:type="dxa"/>
                  <w:tcBorders>
                    <w:top w:val="nil"/>
                    <w:left w:val="nil"/>
                    <w:bottom w:val="nil"/>
                    <w:right w:val="nil"/>
                  </w:tcBorders>
                  <w:shd w:val="clear" w:color="auto" w:fill="auto"/>
                  <w:noWrap/>
                  <w:vAlign w:val="center"/>
                  <w:hideMark/>
                </w:tcPr>
                <w:p w14:paraId="642DB827" w14:textId="3DB9FDA5"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Board &amp; Committee Expense</w:t>
                  </w:r>
                  <w:r w:rsidR="00E82645">
                    <w:rPr>
                      <w:color w:val="000000"/>
                      <w:kern w:val="2"/>
                      <w:sz w:val="21"/>
                      <w:szCs w:val="21"/>
                      <w:lang w:val="en-US"/>
                    </w:rPr>
                    <w:t>s</w:t>
                  </w:r>
                </w:p>
              </w:tc>
              <w:tc>
                <w:tcPr>
                  <w:tcW w:w="3476" w:type="dxa"/>
                  <w:tcBorders>
                    <w:top w:val="nil"/>
                    <w:left w:val="nil"/>
                    <w:bottom w:val="nil"/>
                    <w:right w:val="nil"/>
                  </w:tcBorders>
                  <w:shd w:val="clear" w:color="auto" w:fill="auto"/>
                  <w:noWrap/>
                  <w:vAlign w:val="center"/>
                  <w:hideMark/>
                </w:tcPr>
                <w:p w14:paraId="48FEA967" w14:textId="2367A2F0" w:rsidR="004B3C9E" w:rsidRPr="009D1752" w:rsidRDefault="004B3C9E">
                  <w:pPr>
                    <w:jc w:val="center"/>
                    <w:rPr>
                      <w:color w:val="000000"/>
                      <w:kern w:val="2"/>
                      <w:sz w:val="21"/>
                      <w:szCs w:val="21"/>
                      <w:lang w:val="en-US"/>
                    </w:rPr>
                  </w:pPr>
                  <w:r w:rsidRPr="009D1752">
                    <w:rPr>
                      <w:color w:val="000000"/>
                      <w:kern w:val="2"/>
                      <w:sz w:val="21"/>
                      <w:szCs w:val="21"/>
                      <w:lang w:val="en-US"/>
                    </w:rPr>
                    <w:t>300</w:t>
                  </w:r>
                </w:p>
              </w:tc>
            </w:tr>
            <w:tr w:rsidR="004B3C9E" w:rsidRPr="004B3C9E" w14:paraId="6C2A47F0" w14:textId="77777777" w:rsidTr="009A2AEF">
              <w:trPr>
                <w:trHeight w:val="270"/>
              </w:trPr>
              <w:tc>
                <w:tcPr>
                  <w:tcW w:w="3576" w:type="dxa"/>
                  <w:tcBorders>
                    <w:top w:val="nil"/>
                    <w:left w:val="nil"/>
                    <w:bottom w:val="nil"/>
                    <w:right w:val="nil"/>
                  </w:tcBorders>
                  <w:shd w:val="clear" w:color="auto" w:fill="auto"/>
                  <w:noWrap/>
                  <w:vAlign w:val="center"/>
                  <w:hideMark/>
                </w:tcPr>
                <w:p w14:paraId="104FB2A3" w14:textId="2344737E"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Software Expense</w:t>
                  </w:r>
                  <w:r w:rsidR="00E82645">
                    <w:rPr>
                      <w:color w:val="000000"/>
                      <w:kern w:val="2"/>
                      <w:sz w:val="21"/>
                      <w:szCs w:val="21"/>
                      <w:lang w:val="en-US"/>
                    </w:rPr>
                    <w:t>s</w:t>
                  </w:r>
                </w:p>
              </w:tc>
              <w:tc>
                <w:tcPr>
                  <w:tcW w:w="3476" w:type="dxa"/>
                  <w:tcBorders>
                    <w:top w:val="nil"/>
                    <w:left w:val="nil"/>
                    <w:bottom w:val="nil"/>
                    <w:right w:val="nil"/>
                  </w:tcBorders>
                  <w:shd w:val="clear" w:color="auto" w:fill="auto"/>
                  <w:noWrap/>
                  <w:vAlign w:val="center"/>
                  <w:hideMark/>
                </w:tcPr>
                <w:p w14:paraId="5C84C299" w14:textId="59E29CCA" w:rsidR="004B3C9E" w:rsidRPr="009D1752" w:rsidRDefault="004B3C9E">
                  <w:pPr>
                    <w:jc w:val="center"/>
                    <w:rPr>
                      <w:color w:val="000000"/>
                      <w:kern w:val="2"/>
                      <w:sz w:val="21"/>
                      <w:szCs w:val="21"/>
                      <w:lang w:val="en-US"/>
                    </w:rPr>
                  </w:pPr>
                  <w:r w:rsidRPr="009D1752">
                    <w:rPr>
                      <w:color w:val="000000"/>
                      <w:kern w:val="2"/>
                      <w:sz w:val="21"/>
                      <w:szCs w:val="21"/>
                      <w:lang w:val="en-US"/>
                    </w:rPr>
                    <w:t>1,200</w:t>
                  </w:r>
                </w:p>
              </w:tc>
            </w:tr>
            <w:tr w:rsidR="004B3C9E" w:rsidRPr="004B3C9E" w14:paraId="11130439" w14:textId="77777777" w:rsidTr="009A2AEF">
              <w:trPr>
                <w:trHeight w:val="270"/>
              </w:trPr>
              <w:tc>
                <w:tcPr>
                  <w:tcW w:w="3576" w:type="dxa"/>
                  <w:tcBorders>
                    <w:top w:val="nil"/>
                    <w:left w:val="nil"/>
                    <w:bottom w:val="nil"/>
                    <w:right w:val="nil"/>
                  </w:tcBorders>
                  <w:shd w:val="clear" w:color="auto" w:fill="auto"/>
                  <w:noWrap/>
                  <w:vAlign w:val="center"/>
                </w:tcPr>
                <w:p w14:paraId="2D16B2A8" w14:textId="77777777"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Loans</w:t>
                  </w:r>
                </w:p>
              </w:tc>
              <w:tc>
                <w:tcPr>
                  <w:tcW w:w="3476" w:type="dxa"/>
                  <w:tcBorders>
                    <w:top w:val="nil"/>
                    <w:left w:val="nil"/>
                    <w:bottom w:val="nil"/>
                    <w:right w:val="nil"/>
                  </w:tcBorders>
                  <w:shd w:val="clear" w:color="auto" w:fill="auto"/>
                  <w:noWrap/>
                  <w:vAlign w:val="center"/>
                </w:tcPr>
                <w:p w14:paraId="5AD0A33B" w14:textId="77777777" w:rsidR="004B3C9E" w:rsidRPr="009D1752" w:rsidRDefault="004B3C9E">
                  <w:pPr>
                    <w:jc w:val="center"/>
                    <w:rPr>
                      <w:color w:val="000000"/>
                      <w:kern w:val="2"/>
                      <w:sz w:val="21"/>
                      <w:szCs w:val="21"/>
                      <w:lang w:val="en-US"/>
                    </w:rPr>
                  </w:pPr>
                  <w:r w:rsidRPr="009D1752">
                    <w:rPr>
                      <w:color w:val="000000"/>
                      <w:kern w:val="2"/>
                      <w:sz w:val="21"/>
                      <w:szCs w:val="21"/>
                      <w:lang w:val="en-US"/>
                    </w:rPr>
                    <w:t>8,950</w:t>
                  </w:r>
                </w:p>
              </w:tc>
            </w:tr>
            <w:tr w:rsidR="004B3C9E" w:rsidRPr="004B3C9E" w14:paraId="78E55099" w14:textId="77777777" w:rsidTr="009A2AEF">
              <w:trPr>
                <w:trHeight w:val="270"/>
              </w:trPr>
              <w:tc>
                <w:tcPr>
                  <w:tcW w:w="3576" w:type="dxa"/>
                  <w:tcBorders>
                    <w:top w:val="nil"/>
                    <w:left w:val="nil"/>
                    <w:bottom w:val="nil"/>
                    <w:right w:val="nil"/>
                  </w:tcBorders>
                  <w:shd w:val="clear" w:color="auto" w:fill="auto"/>
                  <w:noWrap/>
                  <w:vAlign w:val="center"/>
                </w:tcPr>
                <w:p w14:paraId="2195C6DD" w14:textId="140F665E" w:rsidR="004B3C9E" w:rsidRPr="009D1752" w:rsidRDefault="004B3C9E" w:rsidP="009A2AEF">
                  <w:pPr>
                    <w:ind w:firstLineChars="100" w:firstLine="210"/>
                    <w:rPr>
                      <w:color w:val="000000"/>
                      <w:kern w:val="2"/>
                      <w:sz w:val="21"/>
                      <w:szCs w:val="21"/>
                      <w:lang w:val="en-US"/>
                    </w:rPr>
                  </w:pPr>
                  <w:r w:rsidRPr="009D1752">
                    <w:rPr>
                      <w:color w:val="000000"/>
                      <w:kern w:val="2"/>
                      <w:sz w:val="21"/>
                      <w:szCs w:val="21"/>
                      <w:lang w:val="en-US"/>
                    </w:rPr>
                    <w:t>Other Expense</w:t>
                  </w:r>
                  <w:r w:rsidR="00E82645">
                    <w:rPr>
                      <w:color w:val="000000"/>
                      <w:kern w:val="2"/>
                      <w:sz w:val="21"/>
                      <w:szCs w:val="21"/>
                      <w:lang w:val="en-US"/>
                    </w:rPr>
                    <w:t>s</w:t>
                  </w:r>
                </w:p>
              </w:tc>
              <w:tc>
                <w:tcPr>
                  <w:tcW w:w="3476" w:type="dxa"/>
                  <w:tcBorders>
                    <w:top w:val="nil"/>
                    <w:left w:val="nil"/>
                    <w:bottom w:val="nil"/>
                    <w:right w:val="nil"/>
                  </w:tcBorders>
                  <w:shd w:val="clear" w:color="auto" w:fill="auto"/>
                  <w:noWrap/>
                  <w:vAlign w:val="center"/>
                </w:tcPr>
                <w:p w14:paraId="09FAE30E" w14:textId="65A5D5C9" w:rsidR="004B3C9E" w:rsidRPr="009D1752" w:rsidRDefault="004B3C9E">
                  <w:pPr>
                    <w:jc w:val="center"/>
                    <w:rPr>
                      <w:color w:val="000000"/>
                      <w:kern w:val="2"/>
                      <w:sz w:val="21"/>
                      <w:szCs w:val="21"/>
                      <w:lang w:val="en-US"/>
                    </w:rPr>
                  </w:pPr>
                  <w:r w:rsidRPr="009D1752">
                    <w:rPr>
                      <w:color w:val="000000"/>
                      <w:kern w:val="2"/>
                      <w:sz w:val="21"/>
                      <w:szCs w:val="21"/>
                      <w:lang w:val="en-US"/>
                    </w:rPr>
                    <w:t>1,230</w:t>
                  </w:r>
                </w:p>
              </w:tc>
            </w:tr>
            <w:tr w:rsidR="004B3C9E" w:rsidRPr="004B3C9E" w14:paraId="7CFE90B1" w14:textId="77777777" w:rsidTr="009A2AEF">
              <w:trPr>
                <w:trHeight w:val="270"/>
              </w:trPr>
              <w:tc>
                <w:tcPr>
                  <w:tcW w:w="3576" w:type="dxa"/>
                  <w:tcBorders>
                    <w:top w:val="nil"/>
                    <w:left w:val="nil"/>
                    <w:bottom w:val="nil"/>
                    <w:right w:val="nil"/>
                  </w:tcBorders>
                  <w:shd w:val="clear" w:color="auto" w:fill="auto"/>
                  <w:noWrap/>
                  <w:vAlign w:val="center"/>
                  <w:hideMark/>
                </w:tcPr>
                <w:p w14:paraId="1051E67C" w14:textId="77777777" w:rsidR="004B3C9E" w:rsidRPr="009D1752" w:rsidRDefault="004B3C9E" w:rsidP="009A2AEF">
                  <w:pPr>
                    <w:rPr>
                      <w:b/>
                      <w:bCs/>
                      <w:color w:val="000000"/>
                      <w:kern w:val="2"/>
                      <w:sz w:val="21"/>
                      <w:szCs w:val="21"/>
                      <w:lang w:val="en-US"/>
                    </w:rPr>
                  </w:pPr>
                  <w:r w:rsidRPr="009D1752">
                    <w:rPr>
                      <w:b/>
                      <w:bCs/>
                      <w:color w:val="000000"/>
                      <w:kern w:val="2"/>
                      <w:sz w:val="21"/>
                      <w:szCs w:val="21"/>
                      <w:lang w:val="en-US"/>
                    </w:rPr>
                    <w:t>Total Cash Out</w:t>
                  </w:r>
                </w:p>
              </w:tc>
              <w:tc>
                <w:tcPr>
                  <w:tcW w:w="3476" w:type="dxa"/>
                  <w:tcBorders>
                    <w:top w:val="nil"/>
                    <w:left w:val="nil"/>
                    <w:bottom w:val="nil"/>
                    <w:right w:val="nil"/>
                  </w:tcBorders>
                  <w:shd w:val="clear" w:color="auto" w:fill="auto"/>
                  <w:noWrap/>
                  <w:vAlign w:val="center"/>
                  <w:hideMark/>
                </w:tcPr>
                <w:p w14:paraId="3103E1EA" w14:textId="77777777" w:rsidR="004B3C9E" w:rsidRPr="009D1752" w:rsidRDefault="004B3C9E">
                  <w:pPr>
                    <w:jc w:val="center"/>
                    <w:rPr>
                      <w:b/>
                      <w:color w:val="000000"/>
                      <w:kern w:val="2"/>
                      <w:sz w:val="21"/>
                      <w:szCs w:val="21"/>
                      <w:lang w:val="en-US"/>
                    </w:rPr>
                  </w:pPr>
                  <w:r w:rsidRPr="009D1752">
                    <w:rPr>
                      <w:b/>
                      <w:color w:val="000000"/>
                      <w:kern w:val="2"/>
                      <w:sz w:val="21"/>
                      <w:szCs w:val="21"/>
                      <w:lang w:val="en-US"/>
                    </w:rPr>
                    <w:t>74,866</w:t>
                  </w:r>
                </w:p>
              </w:tc>
            </w:tr>
            <w:tr w:rsidR="004B3C9E" w:rsidRPr="004B3C9E" w14:paraId="43091C0E" w14:textId="77777777" w:rsidTr="009A2AEF">
              <w:trPr>
                <w:trHeight w:val="270"/>
              </w:trPr>
              <w:tc>
                <w:tcPr>
                  <w:tcW w:w="3576" w:type="dxa"/>
                  <w:tcBorders>
                    <w:top w:val="nil"/>
                    <w:left w:val="nil"/>
                    <w:bottom w:val="nil"/>
                    <w:right w:val="nil"/>
                  </w:tcBorders>
                  <w:shd w:val="clear" w:color="auto" w:fill="auto"/>
                  <w:noWrap/>
                  <w:vAlign w:val="center"/>
                  <w:hideMark/>
                </w:tcPr>
                <w:p w14:paraId="4D01C977" w14:textId="5207F806" w:rsidR="004B3C9E" w:rsidRPr="009D1752" w:rsidRDefault="004B3C9E" w:rsidP="00E82645">
                  <w:pPr>
                    <w:rPr>
                      <w:b/>
                      <w:bCs/>
                      <w:color w:val="000000"/>
                      <w:kern w:val="2"/>
                      <w:sz w:val="21"/>
                      <w:szCs w:val="21"/>
                      <w:lang w:val="en-US"/>
                    </w:rPr>
                  </w:pPr>
                  <w:r w:rsidRPr="009D1752">
                    <w:rPr>
                      <w:b/>
                      <w:bCs/>
                      <w:color w:val="000000"/>
                      <w:kern w:val="2"/>
                      <w:sz w:val="21"/>
                      <w:szCs w:val="21"/>
                      <w:lang w:val="en-US"/>
                    </w:rPr>
                    <w:t xml:space="preserve">Net Cash </w:t>
                  </w:r>
                  <w:r w:rsidR="00E82645">
                    <w:rPr>
                      <w:b/>
                      <w:bCs/>
                      <w:color w:val="000000"/>
                      <w:kern w:val="2"/>
                      <w:sz w:val="21"/>
                      <w:szCs w:val="21"/>
                      <w:lang w:val="en-US"/>
                    </w:rPr>
                    <w:t>Flow</w:t>
                  </w:r>
                </w:p>
              </w:tc>
              <w:tc>
                <w:tcPr>
                  <w:tcW w:w="3476" w:type="dxa"/>
                  <w:tcBorders>
                    <w:top w:val="nil"/>
                    <w:left w:val="nil"/>
                    <w:bottom w:val="nil"/>
                    <w:right w:val="nil"/>
                  </w:tcBorders>
                  <w:shd w:val="clear" w:color="auto" w:fill="auto"/>
                  <w:noWrap/>
                  <w:vAlign w:val="center"/>
                  <w:hideMark/>
                </w:tcPr>
                <w:p w14:paraId="589ABB1D" w14:textId="77777777" w:rsidR="004B3C9E" w:rsidRPr="009D1752" w:rsidRDefault="004B3C9E">
                  <w:pPr>
                    <w:jc w:val="center"/>
                    <w:rPr>
                      <w:b/>
                      <w:color w:val="000000"/>
                      <w:kern w:val="2"/>
                      <w:sz w:val="21"/>
                      <w:szCs w:val="21"/>
                      <w:lang w:val="en-US"/>
                    </w:rPr>
                  </w:pPr>
                  <w:r w:rsidRPr="009D1752">
                    <w:rPr>
                      <w:b/>
                      <w:color w:val="000000"/>
                      <w:kern w:val="2"/>
                      <w:sz w:val="21"/>
                      <w:szCs w:val="21"/>
                      <w:lang w:val="en-US"/>
                    </w:rPr>
                    <w:t>11,734</w:t>
                  </w:r>
                </w:p>
              </w:tc>
            </w:tr>
            <w:tr w:rsidR="004B3C9E" w:rsidRPr="004B3C9E" w14:paraId="5F63A414" w14:textId="77777777" w:rsidTr="009A2AEF">
              <w:trPr>
                <w:trHeight w:val="353"/>
              </w:trPr>
              <w:tc>
                <w:tcPr>
                  <w:tcW w:w="3576" w:type="dxa"/>
                  <w:tcBorders>
                    <w:top w:val="nil"/>
                    <w:left w:val="nil"/>
                    <w:bottom w:val="nil"/>
                    <w:right w:val="nil"/>
                  </w:tcBorders>
                  <w:shd w:val="clear" w:color="auto" w:fill="auto"/>
                  <w:noWrap/>
                  <w:vAlign w:val="center"/>
                </w:tcPr>
                <w:p w14:paraId="4F861ABA" w14:textId="16C2DC11" w:rsidR="004B3C9E" w:rsidRPr="009D1752" w:rsidRDefault="004B3C9E" w:rsidP="00E82645">
                  <w:pPr>
                    <w:rPr>
                      <w:b/>
                      <w:bCs/>
                      <w:color w:val="000000"/>
                      <w:kern w:val="2"/>
                      <w:sz w:val="21"/>
                      <w:szCs w:val="21"/>
                      <w:lang w:val="en-US"/>
                    </w:rPr>
                  </w:pPr>
                  <w:r w:rsidRPr="009D1752">
                    <w:rPr>
                      <w:b/>
                      <w:bCs/>
                      <w:color w:val="000000"/>
                      <w:kern w:val="2"/>
                      <w:sz w:val="21"/>
                      <w:szCs w:val="21"/>
                      <w:lang w:val="en-US"/>
                    </w:rPr>
                    <w:t>Cash</w:t>
                  </w:r>
                  <w:r w:rsidR="00E82645">
                    <w:rPr>
                      <w:b/>
                      <w:bCs/>
                      <w:color w:val="000000"/>
                      <w:kern w:val="2"/>
                      <w:sz w:val="21"/>
                      <w:szCs w:val="21"/>
                      <w:lang w:val="en-US"/>
                    </w:rPr>
                    <w:t xml:space="preserve"> Balance</w:t>
                  </w:r>
                </w:p>
              </w:tc>
              <w:tc>
                <w:tcPr>
                  <w:tcW w:w="3476" w:type="dxa"/>
                  <w:tcBorders>
                    <w:top w:val="nil"/>
                    <w:left w:val="nil"/>
                    <w:bottom w:val="nil"/>
                    <w:right w:val="nil"/>
                  </w:tcBorders>
                  <w:shd w:val="clear" w:color="auto" w:fill="auto"/>
                  <w:noWrap/>
                  <w:vAlign w:val="center"/>
                </w:tcPr>
                <w:p w14:paraId="66BC4302" w14:textId="77777777" w:rsidR="004B3C9E" w:rsidRPr="009D1752" w:rsidRDefault="004B3C9E">
                  <w:pPr>
                    <w:jc w:val="center"/>
                    <w:rPr>
                      <w:b/>
                      <w:color w:val="000000"/>
                      <w:kern w:val="2"/>
                      <w:sz w:val="21"/>
                      <w:szCs w:val="21"/>
                      <w:lang w:val="en-US"/>
                    </w:rPr>
                  </w:pPr>
                  <w:r w:rsidRPr="009D1752">
                    <w:rPr>
                      <w:b/>
                      <w:color w:val="000000"/>
                      <w:kern w:val="2"/>
                      <w:sz w:val="21"/>
                      <w:szCs w:val="21"/>
                      <w:lang w:val="en-US"/>
                    </w:rPr>
                    <w:t>37,746</w:t>
                  </w:r>
                </w:p>
              </w:tc>
            </w:tr>
          </w:tbl>
          <w:p w14:paraId="0C9A72E1" w14:textId="77777777" w:rsidR="004B3C9E" w:rsidRPr="009D1752" w:rsidRDefault="004B3C9E" w:rsidP="009A2AEF">
            <w:pPr>
              <w:rPr>
                <w:rFonts w:eastAsia="仿宋_GB2312"/>
                <w:b/>
                <w:bCs/>
                <w:color w:val="000000"/>
                <w:sz w:val="22"/>
                <w:szCs w:val="22"/>
                <w:lang w:val="en-US"/>
              </w:rPr>
            </w:pPr>
          </w:p>
        </w:tc>
      </w:tr>
    </w:tbl>
    <w:p w14:paraId="5AAE7B98" w14:textId="77777777" w:rsidR="005473D9" w:rsidRDefault="005473D9" w:rsidP="005473D9">
      <w:pPr>
        <w:jc w:val="both"/>
        <w:rPr>
          <w:sz w:val="28"/>
          <w:szCs w:val="28"/>
          <w:lang w:val="en-US"/>
        </w:rPr>
        <w:sectPr w:rsidR="005473D9">
          <w:headerReference w:type="default" r:id="rId11"/>
          <w:footerReference w:type="default" r:id="rId12"/>
          <w:pgSz w:w="11906" w:h="16838"/>
          <w:pgMar w:top="1440" w:right="1800" w:bottom="1440" w:left="1800" w:header="851" w:footer="992" w:gutter="0"/>
          <w:cols w:space="425"/>
          <w:docGrid w:type="lines" w:linePitch="312"/>
        </w:sectPr>
      </w:pPr>
    </w:p>
    <w:p w14:paraId="72C85FF1" w14:textId="3F74FB13" w:rsidR="005473D9" w:rsidRDefault="005473D9" w:rsidP="009D1752">
      <w:pPr>
        <w:spacing w:afterLines="50" w:after="163"/>
        <w:ind w:firstLineChars="200" w:firstLine="562"/>
        <w:jc w:val="center"/>
        <w:rPr>
          <w:b/>
          <w:sz w:val="28"/>
          <w:szCs w:val="28"/>
          <w:lang w:val="en-US"/>
        </w:rPr>
      </w:pPr>
      <w:r>
        <w:rPr>
          <w:b/>
          <w:sz w:val="28"/>
          <w:szCs w:val="28"/>
          <w:lang w:val="en-US"/>
        </w:rPr>
        <w:lastRenderedPageBreak/>
        <w:t>2019</w:t>
      </w:r>
      <w:r w:rsidRPr="00AE636F">
        <w:rPr>
          <w:b/>
          <w:sz w:val="28"/>
          <w:szCs w:val="28"/>
          <w:lang w:val="en-US"/>
        </w:rPr>
        <w:t xml:space="preserve"> Annual Cash Flow Budget</w:t>
      </w:r>
    </w:p>
    <w:p w14:paraId="05D0EB69" w14:textId="0191CD1D" w:rsidR="00CE0740" w:rsidRDefault="004F3407" w:rsidP="009D1752">
      <w:pPr>
        <w:jc w:val="center"/>
        <w:rPr>
          <w:noProof/>
          <w:lang w:val="en-US"/>
        </w:rPr>
      </w:pPr>
      <w:r w:rsidRPr="004F3407">
        <w:rPr>
          <w:noProof/>
        </w:rPr>
        <w:drawing>
          <wp:inline distT="0" distB="0" distL="0" distR="0" wp14:anchorId="78722BBB" wp14:editId="2063549C">
            <wp:extent cx="8863330" cy="44970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63330" cy="4497070"/>
                    </a:xfrm>
                    <a:prstGeom prst="rect">
                      <a:avLst/>
                    </a:prstGeom>
                    <a:noFill/>
                    <a:ln>
                      <a:noFill/>
                    </a:ln>
                  </pic:spPr>
                </pic:pic>
              </a:graphicData>
            </a:graphic>
          </wp:inline>
        </w:drawing>
      </w:r>
    </w:p>
    <w:p w14:paraId="30B72C9F" w14:textId="77777777" w:rsidR="005473D9" w:rsidRPr="00AE636F" w:rsidRDefault="005473D9">
      <w:pPr>
        <w:spacing w:afterLines="100" w:after="326" w:line="360" w:lineRule="auto"/>
        <w:rPr>
          <w:sz w:val="28"/>
          <w:szCs w:val="28"/>
          <w:lang w:val="en-US"/>
        </w:rPr>
        <w:sectPr w:rsidR="005473D9" w:rsidRPr="00AE636F" w:rsidSect="00AE636F">
          <w:pgSz w:w="16838" w:h="11906" w:orient="landscape"/>
          <w:pgMar w:top="1800" w:right="1440" w:bottom="1800" w:left="1440" w:header="851" w:footer="992" w:gutter="0"/>
          <w:cols w:space="425"/>
          <w:docGrid w:type="lines" w:linePitch="326"/>
        </w:sectPr>
      </w:pPr>
    </w:p>
    <w:p w14:paraId="4229ED23" w14:textId="77777777" w:rsidR="005473D9" w:rsidRPr="00C569F6" w:rsidRDefault="005473D9" w:rsidP="00CD21A4">
      <w:pPr>
        <w:tabs>
          <w:tab w:val="left" w:pos="330"/>
        </w:tabs>
        <w:spacing w:before="220" w:after="220" w:line="360" w:lineRule="auto"/>
        <w:jc w:val="both"/>
        <w:rPr>
          <w:sz w:val="28"/>
          <w:szCs w:val="28"/>
        </w:rPr>
      </w:pPr>
    </w:p>
    <w:sectPr w:rsidR="005473D9" w:rsidRPr="00C569F6" w:rsidSect="000711E0">
      <w:headerReference w:type="default" r:id="rId14"/>
      <w:footerReference w:type="default" r:id="rId15"/>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2DADE" w14:textId="77777777" w:rsidR="003D1EC6" w:rsidRDefault="003D1EC6" w:rsidP="00344B05">
      <w:r>
        <w:separator/>
      </w:r>
    </w:p>
  </w:endnote>
  <w:endnote w:type="continuationSeparator" w:id="0">
    <w:p w14:paraId="6B47E189" w14:textId="77777777" w:rsidR="003D1EC6" w:rsidRDefault="003D1EC6" w:rsidP="00344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1886865"/>
      <w:docPartObj>
        <w:docPartGallery w:val="Page Numbers (Bottom of Page)"/>
        <w:docPartUnique/>
      </w:docPartObj>
    </w:sdtPr>
    <w:sdtEndPr/>
    <w:sdtContent>
      <w:sdt>
        <w:sdtPr>
          <w:id w:val="-1705238520"/>
          <w:docPartObj>
            <w:docPartGallery w:val="Page Numbers (Top of Page)"/>
            <w:docPartUnique/>
          </w:docPartObj>
        </w:sdtPr>
        <w:sdtEndPr/>
        <w:sdtContent>
          <w:p w14:paraId="16E292CF" w14:textId="77777777" w:rsidR="00E23594" w:rsidRDefault="00E23594" w:rsidP="002C61FE">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41</w:t>
            </w:r>
            <w:r>
              <w:rPr>
                <w:b/>
                <w:bCs/>
                <w:sz w:val="24"/>
                <w:szCs w:val="24"/>
              </w:rPr>
              <w:fldChar w:fldCharType="end"/>
            </w:r>
          </w:p>
        </w:sdtContent>
      </w:sdt>
    </w:sdtContent>
  </w:sdt>
  <w:p w14:paraId="0D26CF57" w14:textId="77777777" w:rsidR="00E23594" w:rsidRDefault="00E2359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094331"/>
      <w:docPartObj>
        <w:docPartGallery w:val="Page Numbers (Bottom of Page)"/>
        <w:docPartUnique/>
      </w:docPartObj>
    </w:sdtPr>
    <w:sdtEndPr/>
    <w:sdtContent>
      <w:sdt>
        <w:sdtPr>
          <w:id w:val="-1560539585"/>
          <w:docPartObj>
            <w:docPartGallery w:val="Page Numbers (Top of Page)"/>
            <w:docPartUnique/>
          </w:docPartObj>
        </w:sdtPr>
        <w:sdtEndPr/>
        <w:sdtContent>
          <w:p w14:paraId="4B20DA00" w14:textId="77777777" w:rsidR="00E23594" w:rsidRDefault="00E23594" w:rsidP="002C61FE">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49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52</w:t>
            </w:r>
            <w:r>
              <w:rPr>
                <w:b/>
                <w:bCs/>
                <w:sz w:val="24"/>
                <w:szCs w:val="24"/>
              </w:rPr>
              <w:fldChar w:fldCharType="end"/>
            </w:r>
          </w:p>
        </w:sdtContent>
      </w:sdt>
    </w:sdtContent>
  </w:sdt>
  <w:p w14:paraId="465821DE" w14:textId="77777777" w:rsidR="00E23594" w:rsidRDefault="00E2359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3869353"/>
      <w:docPartObj>
        <w:docPartGallery w:val="Page Numbers (Bottom of Page)"/>
        <w:docPartUnique/>
      </w:docPartObj>
    </w:sdtPr>
    <w:sdtEndPr/>
    <w:sdtContent>
      <w:sdt>
        <w:sdtPr>
          <w:id w:val="-450324140"/>
          <w:docPartObj>
            <w:docPartGallery w:val="Page Numbers (Top of Page)"/>
            <w:docPartUnique/>
          </w:docPartObj>
        </w:sdtPr>
        <w:sdtEndPr/>
        <w:sdtContent>
          <w:p w14:paraId="3DB63F39" w14:textId="1E3A4FFA" w:rsidR="00E23594" w:rsidRDefault="00E23594" w:rsidP="008912B2">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40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40</w:t>
            </w:r>
            <w:r>
              <w:rPr>
                <w:b/>
                <w:bCs/>
                <w:sz w:val="24"/>
                <w:szCs w:val="24"/>
              </w:rPr>
              <w:fldChar w:fldCharType="end"/>
            </w:r>
          </w:p>
        </w:sdtContent>
      </w:sdt>
    </w:sdtContent>
  </w:sdt>
  <w:p w14:paraId="5FC88C11" w14:textId="2010DEBA" w:rsidR="00E23594" w:rsidRDefault="00E23594" w:rsidP="009F025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D0358" w14:textId="77777777" w:rsidR="003D1EC6" w:rsidRDefault="003D1EC6" w:rsidP="00344B05">
      <w:r>
        <w:separator/>
      </w:r>
    </w:p>
  </w:footnote>
  <w:footnote w:type="continuationSeparator" w:id="0">
    <w:p w14:paraId="31105F05" w14:textId="77777777" w:rsidR="003D1EC6" w:rsidRDefault="003D1EC6" w:rsidP="00344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2805D" w14:textId="77777777" w:rsidR="00E23594" w:rsidRPr="00344B05" w:rsidRDefault="00E23594" w:rsidP="00344B05">
    <w:pPr>
      <w:pStyle w:val="a4"/>
      <w:jc w:val="left"/>
      <w:rPr>
        <w:b/>
        <w:sz w:val="14"/>
        <w:szCs w:val="14"/>
      </w:rPr>
    </w:pPr>
    <w:r w:rsidRPr="00344B05">
      <w:rPr>
        <w:b/>
        <w:sz w:val="14"/>
        <w:szCs w:val="14"/>
      </w:rPr>
      <w:t xml:space="preserve">BOHAI HARVEST RST (SHANGHAI) EQUITY INVESTMENT FUND MANAGEMENT CO., LTD.      </w:t>
    </w:r>
    <w:r w:rsidRPr="00344B05">
      <w:rPr>
        <w:b/>
        <w:i/>
        <w:sz w:val="14"/>
        <w:szCs w:val="14"/>
      </w:rPr>
      <w:t xml:space="preserve"> </w:t>
    </w:r>
    <w:r>
      <w:rPr>
        <w:b/>
        <w:i/>
        <w:sz w:val="14"/>
        <w:szCs w:val="14"/>
      </w:rPr>
      <w:tab/>
    </w:r>
    <w:r w:rsidRPr="00344B05">
      <w:rPr>
        <w:b/>
        <w:i/>
        <w:sz w:val="14"/>
        <w:szCs w:val="14"/>
      </w:rPr>
      <w:t xml:space="preserve"> Confidential</w:t>
    </w:r>
  </w:p>
  <w:p w14:paraId="27433F23" w14:textId="77777777" w:rsidR="00E23594" w:rsidRPr="00344B05" w:rsidRDefault="00E23594" w:rsidP="00344B05">
    <w:pPr>
      <w:pStyle w:val="a4"/>
      <w:jc w:val="left"/>
      <w:rPr>
        <w:i/>
        <w:color w:val="3366FF"/>
        <w:sz w:val="15"/>
        <w:szCs w:val="15"/>
      </w:rPr>
    </w:pPr>
    <w:r w:rsidRPr="00344B05">
      <w:rPr>
        <w:i/>
        <w:sz w:val="15"/>
        <w:szCs w:val="15"/>
      </w:rPr>
      <w:t>Board Meeting Conference Documents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DB911" w14:textId="77777777" w:rsidR="00E23594" w:rsidRPr="00344B05" w:rsidRDefault="00E23594" w:rsidP="004D5921">
    <w:pPr>
      <w:pStyle w:val="a4"/>
      <w:pBdr>
        <w:bottom w:val="single" w:sz="6" w:space="0" w:color="auto"/>
      </w:pBdr>
      <w:jc w:val="left"/>
      <w:rPr>
        <w:b/>
        <w:sz w:val="14"/>
        <w:szCs w:val="14"/>
      </w:rPr>
    </w:pPr>
    <w:r w:rsidRPr="00344B05">
      <w:rPr>
        <w:b/>
        <w:sz w:val="14"/>
        <w:szCs w:val="14"/>
      </w:rPr>
      <w:t xml:space="preserve">BOHAI HARVEST RST (SHANGHAI) EQUITY INVESTMENT FUND MANAGEMENT CO., LTD.      </w:t>
    </w:r>
    <w:r w:rsidRPr="00344B05">
      <w:rPr>
        <w:b/>
        <w:i/>
        <w:sz w:val="14"/>
        <w:szCs w:val="14"/>
      </w:rPr>
      <w:t xml:space="preserve"> </w:t>
    </w:r>
    <w:r>
      <w:rPr>
        <w:b/>
        <w:i/>
        <w:sz w:val="14"/>
        <w:szCs w:val="14"/>
      </w:rPr>
      <w:tab/>
    </w:r>
    <w:r w:rsidRPr="00344B05">
      <w:rPr>
        <w:b/>
        <w:i/>
        <w:sz w:val="14"/>
        <w:szCs w:val="14"/>
      </w:rPr>
      <w:t xml:space="preserve"> Confidential</w:t>
    </w:r>
  </w:p>
  <w:p w14:paraId="2BA1830A" w14:textId="77777777" w:rsidR="00E23594" w:rsidRPr="00344B05" w:rsidRDefault="00E23594" w:rsidP="004D5921">
    <w:pPr>
      <w:pStyle w:val="a4"/>
      <w:pBdr>
        <w:bottom w:val="single" w:sz="6" w:space="0" w:color="auto"/>
      </w:pBdr>
      <w:jc w:val="left"/>
      <w:rPr>
        <w:i/>
        <w:color w:val="3366FF"/>
        <w:sz w:val="15"/>
        <w:szCs w:val="15"/>
      </w:rPr>
    </w:pPr>
    <w:r w:rsidRPr="00344B05">
      <w:rPr>
        <w:i/>
        <w:sz w:val="15"/>
        <w:szCs w:val="15"/>
      </w:rPr>
      <w:t>Board Meeting Conference Documents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CD525" w14:textId="77777777" w:rsidR="00E23594" w:rsidRDefault="00E23594" w:rsidP="00B91535">
    <w:pPr>
      <w:pStyle w:val="a4"/>
      <w:jc w:val="left"/>
      <w:rPr>
        <w:b/>
        <w:sz w:val="14"/>
        <w:szCs w:val="14"/>
      </w:rPr>
    </w:pPr>
  </w:p>
  <w:p w14:paraId="5059C215" w14:textId="77777777" w:rsidR="00E23594" w:rsidRDefault="00E23594" w:rsidP="00B91535">
    <w:pPr>
      <w:pStyle w:val="a4"/>
      <w:jc w:val="left"/>
      <w:rPr>
        <w:b/>
        <w:sz w:val="14"/>
        <w:szCs w:val="14"/>
      </w:rPr>
    </w:pPr>
  </w:p>
  <w:p w14:paraId="7B50D30E" w14:textId="77777777" w:rsidR="00E23594" w:rsidRPr="00344B05" w:rsidRDefault="00E23594" w:rsidP="00B91535">
    <w:pPr>
      <w:pStyle w:val="a4"/>
      <w:jc w:val="left"/>
      <w:rPr>
        <w:b/>
        <w:sz w:val="14"/>
        <w:szCs w:val="14"/>
      </w:rPr>
    </w:pPr>
    <w:r w:rsidRPr="00344B05">
      <w:rPr>
        <w:b/>
        <w:sz w:val="14"/>
        <w:szCs w:val="14"/>
      </w:rPr>
      <w:t xml:space="preserve">BOHAI HARVEST RST (SHANGHAI) EQUITY INVESTMENT FUND MANAGEMENT CO., LTD.      </w:t>
    </w:r>
    <w:r w:rsidRPr="00344B05">
      <w:rPr>
        <w:b/>
        <w:i/>
        <w:sz w:val="14"/>
        <w:szCs w:val="14"/>
      </w:rPr>
      <w:t xml:space="preserve"> </w:t>
    </w:r>
    <w:r>
      <w:rPr>
        <w:b/>
        <w:i/>
        <w:sz w:val="14"/>
        <w:szCs w:val="14"/>
      </w:rPr>
      <w:tab/>
    </w:r>
    <w:r w:rsidRPr="00344B05">
      <w:rPr>
        <w:b/>
        <w:i/>
        <w:sz w:val="14"/>
        <w:szCs w:val="14"/>
      </w:rPr>
      <w:t xml:space="preserve"> Confidential</w:t>
    </w:r>
  </w:p>
  <w:p w14:paraId="2DEB177F" w14:textId="14BDF44A" w:rsidR="00E23594" w:rsidRPr="00344B05" w:rsidRDefault="00E23594" w:rsidP="00344B05">
    <w:pPr>
      <w:pStyle w:val="a4"/>
      <w:jc w:val="left"/>
      <w:rPr>
        <w:i/>
        <w:color w:val="3366FF"/>
        <w:sz w:val="15"/>
        <w:szCs w:val="15"/>
      </w:rPr>
    </w:pPr>
    <w:r w:rsidRPr="00344B05">
      <w:rPr>
        <w:i/>
        <w:sz w:val="15"/>
        <w:szCs w:val="15"/>
      </w:rPr>
      <w:t>Board Meeting Conference Documents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108D4"/>
    <w:multiLevelType w:val="hybridMultilevel"/>
    <w:tmpl w:val="870662D6"/>
    <w:lvl w:ilvl="0" w:tplc="01FED9DC">
      <w:start w:val="1"/>
      <w:numFmt w:val="japaneseCounting"/>
      <w:lvlText w:val="%1、"/>
      <w:lvlJc w:val="left"/>
      <w:pPr>
        <w:ind w:left="720" w:hanging="720"/>
      </w:pPr>
      <w:rPr>
        <w:rFonts w:hint="default"/>
      </w:rPr>
    </w:lvl>
    <w:lvl w:ilvl="1" w:tplc="30F0C91C">
      <w:start w:val="1"/>
      <w:numFmt w:val="upp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742F08"/>
    <w:multiLevelType w:val="hybridMultilevel"/>
    <w:tmpl w:val="1C2E6E96"/>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5F82214"/>
    <w:multiLevelType w:val="hybridMultilevel"/>
    <w:tmpl w:val="3F981928"/>
    <w:lvl w:ilvl="0" w:tplc="0409001B">
      <w:start w:val="1"/>
      <w:numFmt w:val="lowerRoman"/>
      <w:lvlText w:val="%1."/>
      <w:lvlJc w:val="righ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082E71D6"/>
    <w:multiLevelType w:val="hybridMultilevel"/>
    <w:tmpl w:val="62C6BB64"/>
    <w:lvl w:ilvl="0" w:tplc="7BFE35B2">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9A075FB"/>
    <w:multiLevelType w:val="hybridMultilevel"/>
    <w:tmpl w:val="9F3AFC0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0BA44F23"/>
    <w:multiLevelType w:val="hybridMultilevel"/>
    <w:tmpl w:val="69381DFC"/>
    <w:lvl w:ilvl="0" w:tplc="E8D0F87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0C42019B"/>
    <w:multiLevelType w:val="hybridMultilevel"/>
    <w:tmpl w:val="4F26E20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0CA2568C"/>
    <w:multiLevelType w:val="hybridMultilevel"/>
    <w:tmpl w:val="E9C6E310"/>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3B66925"/>
    <w:multiLevelType w:val="hybridMultilevel"/>
    <w:tmpl w:val="4F26E20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B6E7750"/>
    <w:multiLevelType w:val="hybridMultilevel"/>
    <w:tmpl w:val="579A23A2"/>
    <w:lvl w:ilvl="0" w:tplc="0409001B">
      <w:start w:val="1"/>
      <w:numFmt w:val="lowerRoman"/>
      <w:lvlText w:val="%1."/>
      <w:lvlJc w:val="righ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1D6E3EFE"/>
    <w:multiLevelType w:val="hybridMultilevel"/>
    <w:tmpl w:val="6B5E8E22"/>
    <w:lvl w:ilvl="0" w:tplc="5748FA36">
      <w:start w:val="2016"/>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50C75C1"/>
    <w:multiLevelType w:val="hybridMultilevel"/>
    <w:tmpl w:val="60A04A1E"/>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DD61CD7"/>
    <w:multiLevelType w:val="hybridMultilevel"/>
    <w:tmpl w:val="4F26E20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34420535"/>
    <w:multiLevelType w:val="hybridMultilevel"/>
    <w:tmpl w:val="25020990"/>
    <w:lvl w:ilvl="0" w:tplc="3EB07244">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CD61B60"/>
    <w:multiLevelType w:val="hybridMultilevel"/>
    <w:tmpl w:val="360274E0"/>
    <w:lvl w:ilvl="0" w:tplc="6A1C52C8">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34020A1"/>
    <w:multiLevelType w:val="hybridMultilevel"/>
    <w:tmpl w:val="41665A34"/>
    <w:lvl w:ilvl="0" w:tplc="7AACAEE6">
      <w:start w:val="1"/>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4B1655C2"/>
    <w:multiLevelType w:val="hybridMultilevel"/>
    <w:tmpl w:val="F202BE1E"/>
    <w:lvl w:ilvl="0" w:tplc="1CCC1EF4">
      <w:start w:val="1"/>
      <w:numFmt w:val="lowerLetter"/>
      <w:lvlText w:val="(%1)"/>
      <w:lvlJc w:val="left"/>
      <w:pPr>
        <w:ind w:left="1440" w:hanging="720"/>
      </w:pPr>
      <w:rPr>
        <w:rFonts w:ascii="Times New Roman" w:eastAsia="仿宋_GB2312" w:hAnsi="Times New Roman" w:cs="Times New Roman"/>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7" w15:restartNumberingAfterBreak="0">
    <w:nsid w:val="536E729B"/>
    <w:multiLevelType w:val="hybridMultilevel"/>
    <w:tmpl w:val="5B5AF212"/>
    <w:lvl w:ilvl="0" w:tplc="30EAD904">
      <w:start w:val="1"/>
      <w:numFmt w:val="upperLetter"/>
      <w:lvlText w:val="%1."/>
      <w:lvlJc w:val="left"/>
      <w:pPr>
        <w:tabs>
          <w:tab w:val="num" w:pos="1994"/>
        </w:tabs>
        <w:ind w:left="1994" w:hanging="1410"/>
      </w:pPr>
      <w:rPr>
        <w:rFonts w:hint="eastAsia"/>
        <w:b w:val="0"/>
      </w:rPr>
    </w:lvl>
    <w:lvl w:ilvl="1" w:tplc="A03EE7F0">
      <w:start w:val="1"/>
      <w:numFmt w:val="decimal"/>
      <w:lvlText w:val="%2."/>
      <w:lvlJc w:val="left"/>
      <w:pPr>
        <w:tabs>
          <w:tab w:val="num" w:pos="2009"/>
        </w:tabs>
        <w:ind w:left="2009" w:hanging="705"/>
      </w:pPr>
      <w:rPr>
        <w:rFonts w:hint="eastAsia"/>
      </w:rPr>
    </w:lvl>
    <w:lvl w:ilvl="2" w:tplc="0409001B" w:tentative="1">
      <w:start w:val="1"/>
      <w:numFmt w:val="lowerRoman"/>
      <w:lvlText w:val="%3."/>
      <w:lvlJc w:val="right"/>
      <w:pPr>
        <w:tabs>
          <w:tab w:val="num" w:pos="2384"/>
        </w:tabs>
        <w:ind w:left="2384" w:hanging="180"/>
      </w:pPr>
    </w:lvl>
    <w:lvl w:ilvl="3" w:tplc="0409000F">
      <w:start w:val="1"/>
      <w:numFmt w:val="decimal"/>
      <w:lvlText w:val="%4."/>
      <w:lvlJc w:val="left"/>
      <w:pPr>
        <w:tabs>
          <w:tab w:val="num" w:pos="3104"/>
        </w:tabs>
        <w:ind w:left="3104" w:hanging="360"/>
      </w:pPr>
    </w:lvl>
    <w:lvl w:ilvl="4" w:tplc="04090019" w:tentative="1">
      <w:start w:val="1"/>
      <w:numFmt w:val="lowerLetter"/>
      <w:lvlText w:val="%5."/>
      <w:lvlJc w:val="left"/>
      <w:pPr>
        <w:tabs>
          <w:tab w:val="num" w:pos="3824"/>
        </w:tabs>
        <w:ind w:left="3824" w:hanging="360"/>
      </w:pPr>
    </w:lvl>
    <w:lvl w:ilvl="5" w:tplc="0409001B" w:tentative="1">
      <w:start w:val="1"/>
      <w:numFmt w:val="lowerRoman"/>
      <w:lvlText w:val="%6."/>
      <w:lvlJc w:val="right"/>
      <w:pPr>
        <w:tabs>
          <w:tab w:val="num" w:pos="4544"/>
        </w:tabs>
        <w:ind w:left="4544" w:hanging="180"/>
      </w:pPr>
    </w:lvl>
    <w:lvl w:ilvl="6" w:tplc="0409000F" w:tentative="1">
      <w:start w:val="1"/>
      <w:numFmt w:val="decimal"/>
      <w:lvlText w:val="%7."/>
      <w:lvlJc w:val="left"/>
      <w:pPr>
        <w:tabs>
          <w:tab w:val="num" w:pos="5264"/>
        </w:tabs>
        <w:ind w:left="5264" w:hanging="360"/>
      </w:pPr>
    </w:lvl>
    <w:lvl w:ilvl="7" w:tplc="04090019" w:tentative="1">
      <w:start w:val="1"/>
      <w:numFmt w:val="lowerLetter"/>
      <w:lvlText w:val="%8."/>
      <w:lvlJc w:val="left"/>
      <w:pPr>
        <w:tabs>
          <w:tab w:val="num" w:pos="5984"/>
        </w:tabs>
        <w:ind w:left="5984" w:hanging="360"/>
      </w:pPr>
    </w:lvl>
    <w:lvl w:ilvl="8" w:tplc="0409001B" w:tentative="1">
      <w:start w:val="1"/>
      <w:numFmt w:val="lowerRoman"/>
      <w:lvlText w:val="%9."/>
      <w:lvlJc w:val="right"/>
      <w:pPr>
        <w:tabs>
          <w:tab w:val="num" w:pos="6704"/>
        </w:tabs>
        <w:ind w:left="6704" w:hanging="180"/>
      </w:pPr>
    </w:lvl>
  </w:abstractNum>
  <w:abstractNum w:abstractNumId="18" w15:restartNumberingAfterBreak="0">
    <w:nsid w:val="55E44634"/>
    <w:multiLevelType w:val="hybridMultilevel"/>
    <w:tmpl w:val="FCBE9E5C"/>
    <w:lvl w:ilvl="0" w:tplc="04090015">
      <w:start w:val="1"/>
      <w:numFmt w:val="upp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6FA76EF"/>
    <w:multiLevelType w:val="hybridMultilevel"/>
    <w:tmpl w:val="D3888AD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8B60459"/>
    <w:multiLevelType w:val="hybridMultilevel"/>
    <w:tmpl w:val="1A441EF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5E5534F0"/>
    <w:multiLevelType w:val="hybridMultilevel"/>
    <w:tmpl w:val="4F26E20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5F7710FA"/>
    <w:multiLevelType w:val="hybridMultilevel"/>
    <w:tmpl w:val="D3888AD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5FF63760"/>
    <w:multiLevelType w:val="hybridMultilevel"/>
    <w:tmpl w:val="F202BE1E"/>
    <w:lvl w:ilvl="0" w:tplc="1CCC1EF4">
      <w:start w:val="1"/>
      <w:numFmt w:val="lowerLetter"/>
      <w:lvlText w:val="(%1)"/>
      <w:lvlJc w:val="left"/>
      <w:pPr>
        <w:ind w:left="1440" w:hanging="720"/>
      </w:pPr>
      <w:rPr>
        <w:rFonts w:ascii="Times New Roman" w:eastAsia="仿宋_GB2312" w:hAnsi="Times New Roman" w:cs="Times New Roman"/>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4" w15:restartNumberingAfterBreak="0">
    <w:nsid w:val="62825CDF"/>
    <w:multiLevelType w:val="hybridMultilevel"/>
    <w:tmpl w:val="A7329B5E"/>
    <w:lvl w:ilvl="0" w:tplc="04B2A072">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45D0B9C"/>
    <w:multiLevelType w:val="hybridMultilevel"/>
    <w:tmpl w:val="F202BE1E"/>
    <w:lvl w:ilvl="0" w:tplc="1CCC1EF4">
      <w:start w:val="1"/>
      <w:numFmt w:val="lowerLetter"/>
      <w:lvlText w:val="(%1)"/>
      <w:lvlJc w:val="left"/>
      <w:pPr>
        <w:ind w:left="1440" w:hanging="720"/>
      </w:pPr>
      <w:rPr>
        <w:rFonts w:ascii="Times New Roman" w:eastAsia="仿宋_GB2312" w:hAnsi="Times New Roman" w:cs="Times New Roman"/>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6" w15:restartNumberingAfterBreak="0">
    <w:nsid w:val="69135E7A"/>
    <w:multiLevelType w:val="hybridMultilevel"/>
    <w:tmpl w:val="8FAE9548"/>
    <w:lvl w:ilvl="0" w:tplc="F56015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E806B32"/>
    <w:multiLevelType w:val="hybridMultilevel"/>
    <w:tmpl w:val="ECE0EE1C"/>
    <w:lvl w:ilvl="0" w:tplc="28EEB23A">
      <w:numFmt w:val="bullet"/>
      <w:lvlText w:val="-"/>
      <w:lvlJc w:val="left"/>
      <w:pPr>
        <w:ind w:left="787" w:hanging="360"/>
      </w:pPr>
      <w:rPr>
        <w:rFonts w:ascii="Arial" w:eastAsia="黑体" w:hAnsi="Arial" w:cs="Aria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6F317CEC"/>
    <w:multiLevelType w:val="hybridMultilevel"/>
    <w:tmpl w:val="791C8552"/>
    <w:lvl w:ilvl="0" w:tplc="0409001B">
      <w:start w:val="1"/>
      <w:numFmt w:val="lowerRoman"/>
      <w:lvlText w:val="%1."/>
      <w:lvlJc w:val="righ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9" w15:restartNumberingAfterBreak="0">
    <w:nsid w:val="728F2696"/>
    <w:multiLevelType w:val="hybridMultilevel"/>
    <w:tmpl w:val="3F981928"/>
    <w:lvl w:ilvl="0" w:tplc="0409001B">
      <w:start w:val="1"/>
      <w:numFmt w:val="lowerRoman"/>
      <w:lvlText w:val="%1."/>
      <w:lvlJc w:val="righ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0" w15:restartNumberingAfterBreak="0">
    <w:nsid w:val="734A1D0F"/>
    <w:multiLevelType w:val="hybridMultilevel"/>
    <w:tmpl w:val="9F3AFC0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742A3F45"/>
    <w:multiLevelType w:val="hybridMultilevel"/>
    <w:tmpl w:val="605052FE"/>
    <w:lvl w:ilvl="0" w:tplc="04090015">
      <w:start w:val="1"/>
      <w:numFmt w:val="upp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83F6C4D"/>
    <w:multiLevelType w:val="hybridMultilevel"/>
    <w:tmpl w:val="3D288F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
  </w:num>
  <w:num w:numId="3">
    <w:abstractNumId w:val="31"/>
  </w:num>
  <w:num w:numId="4">
    <w:abstractNumId w:val="7"/>
  </w:num>
  <w:num w:numId="5">
    <w:abstractNumId w:val="12"/>
  </w:num>
  <w:num w:numId="6">
    <w:abstractNumId w:val="9"/>
  </w:num>
  <w:num w:numId="7">
    <w:abstractNumId w:val="28"/>
  </w:num>
  <w:num w:numId="8">
    <w:abstractNumId w:val="4"/>
  </w:num>
  <w:num w:numId="9">
    <w:abstractNumId w:val="21"/>
  </w:num>
  <w:num w:numId="10">
    <w:abstractNumId w:val="2"/>
  </w:num>
  <w:num w:numId="11">
    <w:abstractNumId w:val="29"/>
  </w:num>
  <w:num w:numId="12">
    <w:abstractNumId w:val="32"/>
  </w:num>
  <w:num w:numId="13">
    <w:abstractNumId w:val="27"/>
  </w:num>
  <w:num w:numId="14">
    <w:abstractNumId w:val="30"/>
  </w:num>
  <w:num w:numId="15">
    <w:abstractNumId w:val="8"/>
  </w:num>
  <w:num w:numId="16">
    <w:abstractNumId w:val="5"/>
  </w:num>
  <w:num w:numId="17">
    <w:abstractNumId w:val="6"/>
  </w:num>
  <w:num w:numId="18">
    <w:abstractNumId w:val="20"/>
  </w:num>
  <w:num w:numId="19">
    <w:abstractNumId w:val="0"/>
  </w:num>
  <w:num w:numId="20">
    <w:abstractNumId w:val="13"/>
  </w:num>
  <w:num w:numId="21">
    <w:abstractNumId w:val="22"/>
  </w:num>
  <w:num w:numId="22">
    <w:abstractNumId w:val="19"/>
  </w:num>
  <w:num w:numId="23">
    <w:abstractNumId w:val="18"/>
  </w:num>
  <w:num w:numId="24">
    <w:abstractNumId w:val="14"/>
  </w:num>
  <w:num w:numId="25">
    <w:abstractNumId w:val="15"/>
  </w:num>
  <w:num w:numId="26">
    <w:abstractNumId w:val="3"/>
  </w:num>
  <w:num w:numId="27">
    <w:abstractNumId w:val="11"/>
  </w:num>
  <w:num w:numId="28">
    <w:abstractNumId w:val="26"/>
  </w:num>
  <w:num w:numId="29">
    <w:abstractNumId w:val="16"/>
  </w:num>
  <w:num w:numId="30">
    <w:abstractNumId w:val="25"/>
  </w:num>
  <w:num w:numId="31">
    <w:abstractNumId w:val="24"/>
  </w:num>
  <w:num w:numId="32">
    <w:abstractNumId w:val="23"/>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8A1"/>
    <w:rsid w:val="000029AA"/>
    <w:rsid w:val="00002A60"/>
    <w:rsid w:val="00006A09"/>
    <w:rsid w:val="00006BAF"/>
    <w:rsid w:val="00006FD3"/>
    <w:rsid w:val="00013570"/>
    <w:rsid w:val="000148E8"/>
    <w:rsid w:val="000152ED"/>
    <w:rsid w:val="000159E7"/>
    <w:rsid w:val="0001685E"/>
    <w:rsid w:val="00017CF6"/>
    <w:rsid w:val="00021B75"/>
    <w:rsid w:val="00023594"/>
    <w:rsid w:val="00024E13"/>
    <w:rsid w:val="000259A6"/>
    <w:rsid w:val="00031273"/>
    <w:rsid w:val="000315B2"/>
    <w:rsid w:val="00032582"/>
    <w:rsid w:val="00033BB7"/>
    <w:rsid w:val="0003431A"/>
    <w:rsid w:val="00034F0F"/>
    <w:rsid w:val="00040362"/>
    <w:rsid w:val="00040631"/>
    <w:rsid w:val="000412D1"/>
    <w:rsid w:val="00042322"/>
    <w:rsid w:val="00043A99"/>
    <w:rsid w:val="000446A5"/>
    <w:rsid w:val="00044D9B"/>
    <w:rsid w:val="000451D6"/>
    <w:rsid w:val="00046563"/>
    <w:rsid w:val="00047C5A"/>
    <w:rsid w:val="00052944"/>
    <w:rsid w:val="0005348D"/>
    <w:rsid w:val="00053E18"/>
    <w:rsid w:val="000642D1"/>
    <w:rsid w:val="000657CF"/>
    <w:rsid w:val="00067C19"/>
    <w:rsid w:val="000711E0"/>
    <w:rsid w:val="00076B50"/>
    <w:rsid w:val="00082540"/>
    <w:rsid w:val="00086091"/>
    <w:rsid w:val="0009203E"/>
    <w:rsid w:val="00095CB6"/>
    <w:rsid w:val="00096888"/>
    <w:rsid w:val="000A4DAF"/>
    <w:rsid w:val="000A59E4"/>
    <w:rsid w:val="000A69EA"/>
    <w:rsid w:val="000A6EE3"/>
    <w:rsid w:val="000B45A4"/>
    <w:rsid w:val="000B5C53"/>
    <w:rsid w:val="000B6C4E"/>
    <w:rsid w:val="000B7BF4"/>
    <w:rsid w:val="000C0B52"/>
    <w:rsid w:val="000C1805"/>
    <w:rsid w:val="000C4668"/>
    <w:rsid w:val="000C6312"/>
    <w:rsid w:val="000C6715"/>
    <w:rsid w:val="000C73E7"/>
    <w:rsid w:val="000D25C6"/>
    <w:rsid w:val="000D4ACE"/>
    <w:rsid w:val="000D54EB"/>
    <w:rsid w:val="000D771E"/>
    <w:rsid w:val="000E14ED"/>
    <w:rsid w:val="000E319E"/>
    <w:rsid w:val="000E3601"/>
    <w:rsid w:val="000E37F7"/>
    <w:rsid w:val="000E550A"/>
    <w:rsid w:val="000E6628"/>
    <w:rsid w:val="000F20BD"/>
    <w:rsid w:val="000F5642"/>
    <w:rsid w:val="000F5FA7"/>
    <w:rsid w:val="000F5FFE"/>
    <w:rsid w:val="000F78DF"/>
    <w:rsid w:val="001013DA"/>
    <w:rsid w:val="0010148B"/>
    <w:rsid w:val="00102190"/>
    <w:rsid w:val="00104D60"/>
    <w:rsid w:val="0010721B"/>
    <w:rsid w:val="001074F1"/>
    <w:rsid w:val="00107B45"/>
    <w:rsid w:val="001100D8"/>
    <w:rsid w:val="0011021C"/>
    <w:rsid w:val="001128AD"/>
    <w:rsid w:val="00113311"/>
    <w:rsid w:val="001142E1"/>
    <w:rsid w:val="001164F1"/>
    <w:rsid w:val="00117B18"/>
    <w:rsid w:val="0012057D"/>
    <w:rsid w:val="001208B8"/>
    <w:rsid w:val="00122275"/>
    <w:rsid w:val="00125CB9"/>
    <w:rsid w:val="00130DE4"/>
    <w:rsid w:val="00132C0C"/>
    <w:rsid w:val="001347EA"/>
    <w:rsid w:val="00136A0C"/>
    <w:rsid w:val="00136AA3"/>
    <w:rsid w:val="00136D74"/>
    <w:rsid w:val="00140313"/>
    <w:rsid w:val="00140D57"/>
    <w:rsid w:val="00144950"/>
    <w:rsid w:val="0014507D"/>
    <w:rsid w:val="0014619A"/>
    <w:rsid w:val="00146478"/>
    <w:rsid w:val="001468EE"/>
    <w:rsid w:val="00146C3B"/>
    <w:rsid w:val="00146CEB"/>
    <w:rsid w:val="00151AD9"/>
    <w:rsid w:val="00151B7A"/>
    <w:rsid w:val="001527E1"/>
    <w:rsid w:val="0015586C"/>
    <w:rsid w:val="0015590D"/>
    <w:rsid w:val="00156C9E"/>
    <w:rsid w:val="00157CFA"/>
    <w:rsid w:val="00160249"/>
    <w:rsid w:val="00160BD6"/>
    <w:rsid w:val="00162BE8"/>
    <w:rsid w:val="00162E1B"/>
    <w:rsid w:val="001636AA"/>
    <w:rsid w:val="00163984"/>
    <w:rsid w:val="00164717"/>
    <w:rsid w:val="00165651"/>
    <w:rsid w:val="00167537"/>
    <w:rsid w:val="00167D54"/>
    <w:rsid w:val="00173D38"/>
    <w:rsid w:val="00174FD6"/>
    <w:rsid w:val="00176427"/>
    <w:rsid w:val="001764F6"/>
    <w:rsid w:val="001824C5"/>
    <w:rsid w:val="00187E80"/>
    <w:rsid w:val="0019148D"/>
    <w:rsid w:val="00191A5A"/>
    <w:rsid w:val="001939F8"/>
    <w:rsid w:val="00194704"/>
    <w:rsid w:val="00194C6F"/>
    <w:rsid w:val="00195F6E"/>
    <w:rsid w:val="00196EB9"/>
    <w:rsid w:val="001A35EB"/>
    <w:rsid w:val="001A4DFE"/>
    <w:rsid w:val="001A6418"/>
    <w:rsid w:val="001B00FF"/>
    <w:rsid w:val="001B080C"/>
    <w:rsid w:val="001C1639"/>
    <w:rsid w:val="001C3272"/>
    <w:rsid w:val="001C3A17"/>
    <w:rsid w:val="001C6970"/>
    <w:rsid w:val="001C6CBD"/>
    <w:rsid w:val="001C72C8"/>
    <w:rsid w:val="001D08D1"/>
    <w:rsid w:val="001D13A9"/>
    <w:rsid w:val="001D19BE"/>
    <w:rsid w:val="001D1E13"/>
    <w:rsid w:val="001D3554"/>
    <w:rsid w:val="001D3820"/>
    <w:rsid w:val="001D3BE2"/>
    <w:rsid w:val="001D4FE2"/>
    <w:rsid w:val="001D51C5"/>
    <w:rsid w:val="001E09C6"/>
    <w:rsid w:val="001E12C8"/>
    <w:rsid w:val="001E780D"/>
    <w:rsid w:val="001F3101"/>
    <w:rsid w:val="001F7861"/>
    <w:rsid w:val="002017C7"/>
    <w:rsid w:val="00201D9A"/>
    <w:rsid w:val="00202800"/>
    <w:rsid w:val="002050E8"/>
    <w:rsid w:val="0020579C"/>
    <w:rsid w:val="00207D1C"/>
    <w:rsid w:val="00211CBD"/>
    <w:rsid w:val="00211D4B"/>
    <w:rsid w:val="0021363D"/>
    <w:rsid w:val="0021547F"/>
    <w:rsid w:val="002207C3"/>
    <w:rsid w:val="0022378F"/>
    <w:rsid w:val="00225239"/>
    <w:rsid w:val="00225D58"/>
    <w:rsid w:val="00230F75"/>
    <w:rsid w:val="002348A3"/>
    <w:rsid w:val="00234C7F"/>
    <w:rsid w:val="00234CED"/>
    <w:rsid w:val="002362FB"/>
    <w:rsid w:val="00236B15"/>
    <w:rsid w:val="002371F2"/>
    <w:rsid w:val="00240363"/>
    <w:rsid w:val="00243543"/>
    <w:rsid w:val="00243853"/>
    <w:rsid w:val="00252FE4"/>
    <w:rsid w:val="00253DE7"/>
    <w:rsid w:val="002544CA"/>
    <w:rsid w:val="0025502D"/>
    <w:rsid w:val="00255F56"/>
    <w:rsid w:val="00261E06"/>
    <w:rsid w:val="0026349C"/>
    <w:rsid w:val="00263762"/>
    <w:rsid w:val="00271411"/>
    <w:rsid w:val="00272DDC"/>
    <w:rsid w:val="00276A14"/>
    <w:rsid w:val="00277667"/>
    <w:rsid w:val="00284F27"/>
    <w:rsid w:val="00285830"/>
    <w:rsid w:val="00287BB5"/>
    <w:rsid w:val="00291291"/>
    <w:rsid w:val="00291929"/>
    <w:rsid w:val="00292B05"/>
    <w:rsid w:val="00294CC1"/>
    <w:rsid w:val="002A3CBF"/>
    <w:rsid w:val="002A71E8"/>
    <w:rsid w:val="002B0D0D"/>
    <w:rsid w:val="002B1DF0"/>
    <w:rsid w:val="002B3767"/>
    <w:rsid w:val="002B5A00"/>
    <w:rsid w:val="002B6371"/>
    <w:rsid w:val="002B7D43"/>
    <w:rsid w:val="002B7D6C"/>
    <w:rsid w:val="002C04A4"/>
    <w:rsid w:val="002C21B7"/>
    <w:rsid w:val="002C375E"/>
    <w:rsid w:val="002C49AD"/>
    <w:rsid w:val="002C5260"/>
    <w:rsid w:val="002C56CF"/>
    <w:rsid w:val="002C61FE"/>
    <w:rsid w:val="002D0632"/>
    <w:rsid w:val="002D2B51"/>
    <w:rsid w:val="002D586B"/>
    <w:rsid w:val="002E1AE6"/>
    <w:rsid w:val="002E5228"/>
    <w:rsid w:val="002E568B"/>
    <w:rsid w:val="002E587C"/>
    <w:rsid w:val="002F44D2"/>
    <w:rsid w:val="002F78C7"/>
    <w:rsid w:val="00301393"/>
    <w:rsid w:val="003016FD"/>
    <w:rsid w:val="0030233A"/>
    <w:rsid w:val="00303D2C"/>
    <w:rsid w:val="00305BFF"/>
    <w:rsid w:val="003072FC"/>
    <w:rsid w:val="00311EFF"/>
    <w:rsid w:val="00311FA4"/>
    <w:rsid w:val="0031293E"/>
    <w:rsid w:val="0031318A"/>
    <w:rsid w:val="0031673F"/>
    <w:rsid w:val="003176DE"/>
    <w:rsid w:val="00320D59"/>
    <w:rsid w:val="00321215"/>
    <w:rsid w:val="003214A0"/>
    <w:rsid w:val="00322795"/>
    <w:rsid w:val="003235C0"/>
    <w:rsid w:val="00323F4D"/>
    <w:rsid w:val="00326762"/>
    <w:rsid w:val="00326D8F"/>
    <w:rsid w:val="00333BBB"/>
    <w:rsid w:val="003352FD"/>
    <w:rsid w:val="00336FAC"/>
    <w:rsid w:val="00342A41"/>
    <w:rsid w:val="00344437"/>
    <w:rsid w:val="00344B05"/>
    <w:rsid w:val="00344C26"/>
    <w:rsid w:val="00345553"/>
    <w:rsid w:val="0034724A"/>
    <w:rsid w:val="00351008"/>
    <w:rsid w:val="00353BA6"/>
    <w:rsid w:val="00353EA8"/>
    <w:rsid w:val="00356003"/>
    <w:rsid w:val="003562C4"/>
    <w:rsid w:val="00356DD7"/>
    <w:rsid w:val="00357649"/>
    <w:rsid w:val="003607CA"/>
    <w:rsid w:val="003627EB"/>
    <w:rsid w:val="00363333"/>
    <w:rsid w:val="00363614"/>
    <w:rsid w:val="0036420C"/>
    <w:rsid w:val="003651C6"/>
    <w:rsid w:val="0036558C"/>
    <w:rsid w:val="0036560A"/>
    <w:rsid w:val="00373130"/>
    <w:rsid w:val="00373E6B"/>
    <w:rsid w:val="00376C67"/>
    <w:rsid w:val="00377EA8"/>
    <w:rsid w:val="00380E8E"/>
    <w:rsid w:val="003810F0"/>
    <w:rsid w:val="00383023"/>
    <w:rsid w:val="0038602B"/>
    <w:rsid w:val="00386A1E"/>
    <w:rsid w:val="003903F5"/>
    <w:rsid w:val="00393FBF"/>
    <w:rsid w:val="00394959"/>
    <w:rsid w:val="00395D12"/>
    <w:rsid w:val="00397333"/>
    <w:rsid w:val="003A1F99"/>
    <w:rsid w:val="003A5BE2"/>
    <w:rsid w:val="003B03BB"/>
    <w:rsid w:val="003B3DAD"/>
    <w:rsid w:val="003B5A3B"/>
    <w:rsid w:val="003B5D92"/>
    <w:rsid w:val="003B69A7"/>
    <w:rsid w:val="003B7132"/>
    <w:rsid w:val="003C01B6"/>
    <w:rsid w:val="003C2915"/>
    <w:rsid w:val="003C6BDC"/>
    <w:rsid w:val="003D1EC6"/>
    <w:rsid w:val="003D5340"/>
    <w:rsid w:val="003D6334"/>
    <w:rsid w:val="003D7DF2"/>
    <w:rsid w:val="003E17A7"/>
    <w:rsid w:val="003E5C26"/>
    <w:rsid w:val="003E5F26"/>
    <w:rsid w:val="003F4FE4"/>
    <w:rsid w:val="003F67C7"/>
    <w:rsid w:val="00400817"/>
    <w:rsid w:val="00400EBE"/>
    <w:rsid w:val="004011CD"/>
    <w:rsid w:val="00407CB8"/>
    <w:rsid w:val="00410C72"/>
    <w:rsid w:val="00411059"/>
    <w:rsid w:val="00412FAD"/>
    <w:rsid w:val="00413C4A"/>
    <w:rsid w:val="00414010"/>
    <w:rsid w:val="00414BCA"/>
    <w:rsid w:val="00414D4E"/>
    <w:rsid w:val="004168FC"/>
    <w:rsid w:val="00417EE7"/>
    <w:rsid w:val="004210DE"/>
    <w:rsid w:val="00421ADB"/>
    <w:rsid w:val="00424400"/>
    <w:rsid w:val="0042454F"/>
    <w:rsid w:val="00426EEB"/>
    <w:rsid w:val="0043180B"/>
    <w:rsid w:val="00431E07"/>
    <w:rsid w:val="00432E38"/>
    <w:rsid w:val="0043369C"/>
    <w:rsid w:val="004409A5"/>
    <w:rsid w:val="004412D6"/>
    <w:rsid w:val="00442E68"/>
    <w:rsid w:val="004446CC"/>
    <w:rsid w:val="00444F4A"/>
    <w:rsid w:val="00445532"/>
    <w:rsid w:val="004478AD"/>
    <w:rsid w:val="00447F5E"/>
    <w:rsid w:val="00450EE5"/>
    <w:rsid w:val="0045283F"/>
    <w:rsid w:val="00454250"/>
    <w:rsid w:val="00456DCC"/>
    <w:rsid w:val="00457F06"/>
    <w:rsid w:val="00460193"/>
    <w:rsid w:val="00461816"/>
    <w:rsid w:val="004647AE"/>
    <w:rsid w:val="00466309"/>
    <w:rsid w:val="0047066C"/>
    <w:rsid w:val="00471701"/>
    <w:rsid w:val="00476107"/>
    <w:rsid w:val="004820C6"/>
    <w:rsid w:val="00485114"/>
    <w:rsid w:val="004874E2"/>
    <w:rsid w:val="00490665"/>
    <w:rsid w:val="00490B99"/>
    <w:rsid w:val="00491F94"/>
    <w:rsid w:val="00492717"/>
    <w:rsid w:val="0049294F"/>
    <w:rsid w:val="004A6C76"/>
    <w:rsid w:val="004B044E"/>
    <w:rsid w:val="004B0501"/>
    <w:rsid w:val="004B2B8E"/>
    <w:rsid w:val="004B3C9E"/>
    <w:rsid w:val="004B5C0A"/>
    <w:rsid w:val="004B63CF"/>
    <w:rsid w:val="004C6E63"/>
    <w:rsid w:val="004D1C4C"/>
    <w:rsid w:val="004D2163"/>
    <w:rsid w:val="004D3632"/>
    <w:rsid w:val="004D3714"/>
    <w:rsid w:val="004D5921"/>
    <w:rsid w:val="004D6A38"/>
    <w:rsid w:val="004D7323"/>
    <w:rsid w:val="004E0B9F"/>
    <w:rsid w:val="004E0E08"/>
    <w:rsid w:val="004E399C"/>
    <w:rsid w:val="004E44EF"/>
    <w:rsid w:val="004E5FA0"/>
    <w:rsid w:val="004F2819"/>
    <w:rsid w:val="004F2EFE"/>
    <w:rsid w:val="004F3407"/>
    <w:rsid w:val="004F3947"/>
    <w:rsid w:val="004F3D74"/>
    <w:rsid w:val="004F47F6"/>
    <w:rsid w:val="004F4FF4"/>
    <w:rsid w:val="004F5AA3"/>
    <w:rsid w:val="004F5BFE"/>
    <w:rsid w:val="004F604A"/>
    <w:rsid w:val="004F6EF8"/>
    <w:rsid w:val="00500DE5"/>
    <w:rsid w:val="005013DE"/>
    <w:rsid w:val="00502055"/>
    <w:rsid w:val="00502240"/>
    <w:rsid w:val="00502887"/>
    <w:rsid w:val="005029CC"/>
    <w:rsid w:val="005050C7"/>
    <w:rsid w:val="00505DDA"/>
    <w:rsid w:val="005063BE"/>
    <w:rsid w:val="00510901"/>
    <w:rsid w:val="0051746F"/>
    <w:rsid w:val="00517E9D"/>
    <w:rsid w:val="00521685"/>
    <w:rsid w:val="005220AE"/>
    <w:rsid w:val="005270D0"/>
    <w:rsid w:val="00533418"/>
    <w:rsid w:val="005341DD"/>
    <w:rsid w:val="00534626"/>
    <w:rsid w:val="0053725A"/>
    <w:rsid w:val="00540470"/>
    <w:rsid w:val="00541FB7"/>
    <w:rsid w:val="005473D9"/>
    <w:rsid w:val="00550BDA"/>
    <w:rsid w:val="0055232A"/>
    <w:rsid w:val="0055317D"/>
    <w:rsid w:val="00555C39"/>
    <w:rsid w:val="0055618B"/>
    <w:rsid w:val="00556D7D"/>
    <w:rsid w:val="00560A05"/>
    <w:rsid w:val="00563890"/>
    <w:rsid w:val="005640C4"/>
    <w:rsid w:val="00564AF0"/>
    <w:rsid w:val="00565D50"/>
    <w:rsid w:val="005712DD"/>
    <w:rsid w:val="00583232"/>
    <w:rsid w:val="00585384"/>
    <w:rsid w:val="005854D1"/>
    <w:rsid w:val="0058668C"/>
    <w:rsid w:val="00586BE8"/>
    <w:rsid w:val="00592F35"/>
    <w:rsid w:val="005949DE"/>
    <w:rsid w:val="00594D1D"/>
    <w:rsid w:val="00595061"/>
    <w:rsid w:val="005A1840"/>
    <w:rsid w:val="005A1DF6"/>
    <w:rsid w:val="005A4E97"/>
    <w:rsid w:val="005B0175"/>
    <w:rsid w:val="005B23E5"/>
    <w:rsid w:val="005B2826"/>
    <w:rsid w:val="005B29F7"/>
    <w:rsid w:val="005B43C1"/>
    <w:rsid w:val="005B46AA"/>
    <w:rsid w:val="005B4C4B"/>
    <w:rsid w:val="005B75E0"/>
    <w:rsid w:val="005C1C78"/>
    <w:rsid w:val="005C3386"/>
    <w:rsid w:val="005C4BDD"/>
    <w:rsid w:val="005C5B33"/>
    <w:rsid w:val="005C6C74"/>
    <w:rsid w:val="005D0442"/>
    <w:rsid w:val="005D0717"/>
    <w:rsid w:val="005D18A5"/>
    <w:rsid w:val="005D1EE5"/>
    <w:rsid w:val="005D2894"/>
    <w:rsid w:val="005D2E65"/>
    <w:rsid w:val="005D2ED6"/>
    <w:rsid w:val="005D3EBF"/>
    <w:rsid w:val="005D4247"/>
    <w:rsid w:val="005D442A"/>
    <w:rsid w:val="005F1607"/>
    <w:rsid w:val="005F3B7C"/>
    <w:rsid w:val="005F5823"/>
    <w:rsid w:val="00601922"/>
    <w:rsid w:val="006039E2"/>
    <w:rsid w:val="00603B3E"/>
    <w:rsid w:val="00603F4B"/>
    <w:rsid w:val="00604317"/>
    <w:rsid w:val="0060435F"/>
    <w:rsid w:val="00605A78"/>
    <w:rsid w:val="00605D0D"/>
    <w:rsid w:val="006068B3"/>
    <w:rsid w:val="00606AF4"/>
    <w:rsid w:val="0060706A"/>
    <w:rsid w:val="0061013A"/>
    <w:rsid w:val="0061022F"/>
    <w:rsid w:val="0061159C"/>
    <w:rsid w:val="006140C2"/>
    <w:rsid w:val="00614544"/>
    <w:rsid w:val="00614E43"/>
    <w:rsid w:val="00620C88"/>
    <w:rsid w:val="00621D4D"/>
    <w:rsid w:val="00622792"/>
    <w:rsid w:val="00623C5E"/>
    <w:rsid w:val="00625D33"/>
    <w:rsid w:val="00630115"/>
    <w:rsid w:val="00632128"/>
    <w:rsid w:val="006369D7"/>
    <w:rsid w:val="006446D0"/>
    <w:rsid w:val="0064673F"/>
    <w:rsid w:val="00646CC0"/>
    <w:rsid w:val="00646E85"/>
    <w:rsid w:val="00651A1D"/>
    <w:rsid w:val="00652B51"/>
    <w:rsid w:val="00652B5E"/>
    <w:rsid w:val="00657B22"/>
    <w:rsid w:val="00664C33"/>
    <w:rsid w:val="0066651E"/>
    <w:rsid w:val="006709A3"/>
    <w:rsid w:val="0067217D"/>
    <w:rsid w:val="00672854"/>
    <w:rsid w:val="006744B8"/>
    <w:rsid w:val="00674B3F"/>
    <w:rsid w:val="00682D6B"/>
    <w:rsid w:val="006832FB"/>
    <w:rsid w:val="00684097"/>
    <w:rsid w:val="00684A80"/>
    <w:rsid w:val="00685A3A"/>
    <w:rsid w:val="00687E5C"/>
    <w:rsid w:val="00687F69"/>
    <w:rsid w:val="00691C94"/>
    <w:rsid w:val="0069490E"/>
    <w:rsid w:val="00695C28"/>
    <w:rsid w:val="006A0CF9"/>
    <w:rsid w:val="006A1E63"/>
    <w:rsid w:val="006A2372"/>
    <w:rsid w:val="006A3AB8"/>
    <w:rsid w:val="006A7FD4"/>
    <w:rsid w:val="006B04C2"/>
    <w:rsid w:val="006B1BF3"/>
    <w:rsid w:val="006B289D"/>
    <w:rsid w:val="006B3138"/>
    <w:rsid w:val="006B379E"/>
    <w:rsid w:val="006B3E0A"/>
    <w:rsid w:val="006B476A"/>
    <w:rsid w:val="006B632F"/>
    <w:rsid w:val="006C57FE"/>
    <w:rsid w:val="006C6B18"/>
    <w:rsid w:val="006D0937"/>
    <w:rsid w:val="006D0A2E"/>
    <w:rsid w:val="006D2CD3"/>
    <w:rsid w:val="006D44C5"/>
    <w:rsid w:val="006D51F4"/>
    <w:rsid w:val="006D53E2"/>
    <w:rsid w:val="006D5E62"/>
    <w:rsid w:val="006D64BB"/>
    <w:rsid w:val="006D66FD"/>
    <w:rsid w:val="006D6CDC"/>
    <w:rsid w:val="006E0FBE"/>
    <w:rsid w:val="006E4639"/>
    <w:rsid w:val="006E4A64"/>
    <w:rsid w:val="006F2845"/>
    <w:rsid w:val="006F39AA"/>
    <w:rsid w:val="006F3A25"/>
    <w:rsid w:val="006F3F9E"/>
    <w:rsid w:val="006F435A"/>
    <w:rsid w:val="006F56B0"/>
    <w:rsid w:val="006F5F6B"/>
    <w:rsid w:val="006F74A2"/>
    <w:rsid w:val="00700E6D"/>
    <w:rsid w:val="007026FA"/>
    <w:rsid w:val="00703066"/>
    <w:rsid w:val="00703ACA"/>
    <w:rsid w:val="007044CD"/>
    <w:rsid w:val="0070561B"/>
    <w:rsid w:val="00705C56"/>
    <w:rsid w:val="00707B67"/>
    <w:rsid w:val="00712568"/>
    <w:rsid w:val="0071330C"/>
    <w:rsid w:val="007175FD"/>
    <w:rsid w:val="0071798B"/>
    <w:rsid w:val="0072107B"/>
    <w:rsid w:val="00721ECC"/>
    <w:rsid w:val="0072274C"/>
    <w:rsid w:val="007237F6"/>
    <w:rsid w:val="00726353"/>
    <w:rsid w:val="0073059A"/>
    <w:rsid w:val="00732F5F"/>
    <w:rsid w:val="007354D3"/>
    <w:rsid w:val="007364A0"/>
    <w:rsid w:val="00736588"/>
    <w:rsid w:val="00737B0E"/>
    <w:rsid w:val="00741815"/>
    <w:rsid w:val="00742C72"/>
    <w:rsid w:val="007430C0"/>
    <w:rsid w:val="00744CF1"/>
    <w:rsid w:val="0075188B"/>
    <w:rsid w:val="00753244"/>
    <w:rsid w:val="00755813"/>
    <w:rsid w:val="00755AF8"/>
    <w:rsid w:val="0075645F"/>
    <w:rsid w:val="007626F0"/>
    <w:rsid w:val="00765C4B"/>
    <w:rsid w:val="00766197"/>
    <w:rsid w:val="007664D0"/>
    <w:rsid w:val="007671CF"/>
    <w:rsid w:val="00771512"/>
    <w:rsid w:val="00771A23"/>
    <w:rsid w:val="007722D7"/>
    <w:rsid w:val="0077445A"/>
    <w:rsid w:val="007748FE"/>
    <w:rsid w:val="007750A7"/>
    <w:rsid w:val="0078027D"/>
    <w:rsid w:val="0078263D"/>
    <w:rsid w:val="00783076"/>
    <w:rsid w:val="00784893"/>
    <w:rsid w:val="00786294"/>
    <w:rsid w:val="00786759"/>
    <w:rsid w:val="00787CD6"/>
    <w:rsid w:val="007919BC"/>
    <w:rsid w:val="00791E2F"/>
    <w:rsid w:val="00792E88"/>
    <w:rsid w:val="00796AF7"/>
    <w:rsid w:val="007A3986"/>
    <w:rsid w:val="007B0059"/>
    <w:rsid w:val="007B054C"/>
    <w:rsid w:val="007B0F0F"/>
    <w:rsid w:val="007B4305"/>
    <w:rsid w:val="007B4A74"/>
    <w:rsid w:val="007B720A"/>
    <w:rsid w:val="007C5D5C"/>
    <w:rsid w:val="007D2FA5"/>
    <w:rsid w:val="007D4F02"/>
    <w:rsid w:val="007D621D"/>
    <w:rsid w:val="007D6DB3"/>
    <w:rsid w:val="007E005C"/>
    <w:rsid w:val="007E1AED"/>
    <w:rsid w:val="007E58CE"/>
    <w:rsid w:val="007E65D9"/>
    <w:rsid w:val="007F16B9"/>
    <w:rsid w:val="007F22B3"/>
    <w:rsid w:val="007F2E21"/>
    <w:rsid w:val="007F3A2C"/>
    <w:rsid w:val="007F5FA9"/>
    <w:rsid w:val="007F6F0E"/>
    <w:rsid w:val="00801626"/>
    <w:rsid w:val="00803CFA"/>
    <w:rsid w:val="00803D67"/>
    <w:rsid w:val="008069A3"/>
    <w:rsid w:val="008100AD"/>
    <w:rsid w:val="00810108"/>
    <w:rsid w:val="00810467"/>
    <w:rsid w:val="00811696"/>
    <w:rsid w:val="00816B67"/>
    <w:rsid w:val="00816FC7"/>
    <w:rsid w:val="008173E2"/>
    <w:rsid w:val="00821AEE"/>
    <w:rsid w:val="00822C87"/>
    <w:rsid w:val="008234BB"/>
    <w:rsid w:val="008272E8"/>
    <w:rsid w:val="008306E1"/>
    <w:rsid w:val="00830BF3"/>
    <w:rsid w:val="00831C84"/>
    <w:rsid w:val="008320ED"/>
    <w:rsid w:val="0083251D"/>
    <w:rsid w:val="00832FA6"/>
    <w:rsid w:val="008339A0"/>
    <w:rsid w:val="00833C85"/>
    <w:rsid w:val="00833D3E"/>
    <w:rsid w:val="008356BD"/>
    <w:rsid w:val="00835D21"/>
    <w:rsid w:val="00842203"/>
    <w:rsid w:val="00843287"/>
    <w:rsid w:val="0084329D"/>
    <w:rsid w:val="0084526B"/>
    <w:rsid w:val="0084756A"/>
    <w:rsid w:val="0084792A"/>
    <w:rsid w:val="008519DB"/>
    <w:rsid w:val="00855D91"/>
    <w:rsid w:val="008568A1"/>
    <w:rsid w:val="00856F1F"/>
    <w:rsid w:val="00865971"/>
    <w:rsid w:val="00867150"/>
    <w:rsid w:val="00871E19"/>
    <w:rsid w:val="00873A76"/>
    <w:rsid w:val="0087438D"/>
    <w:rsid w:val="0088036D"/>
    <w:rsid w:val="00881A56"/>
    <w:rsid w:val="008875A7"/>
    <w:rsid w:val="00887798"/>
    <w:rsid w:val="00887948"/>
    <w:rsid w:val="0089107B"/>
    <w:rsid w:val="008912B2"/>
    <w:rsid w:val="008917BF"/>
    <w:rsid w:val="00894A68"/>
    <w:rsid w:val="008A0F7C"/>
    <w:rsid w:val="008A1E45"/>
    <w:rsid w:val="008A5ECB"/>
    <w:rsid w:val="008A6C05"/>
    <w:rsid w:val="008A6EEF"/>
    <w:rsid w:val="008B0FA9"/>
    <w:rsid w:val="008B2437"/>
    <w:rsid w:val="008B2E40"/>
    <w:rsid w:val="008B3B7B"/>
    <w:rsid w:val="008B52B5"/>
    <w:rsid w:val="008B53BD"/>
    <w:rsid w:val="008C12FC"/>
    <w:rsid w:val="008C1FA2"/>
    <w:rsid w:val="008C4723"/>
    <w:rsid w:val="008C4F69"/>
    <w:rsid w:val="008C64E3"/>
    <w:rsid w:val="008C6A7E"/>
    <w:rsid w:val="008D33D7"/>
    <w:rsid w:val="008D3F37"/>
    <w:rsid w:val="008D440D"/>
    <w:rsid w:val="008D6A5C"/>
    <w:rsid w:val="008D7463"/>
    <w:rsid w:val="008E12B9"/>
    <w:rsid w:val="008E2950"/>
    <w:rsid w:val="008E2B02"/>
    <w:rsid w:val="008E2CFD"/>
    <w:rsid w:val="008E3091"/>
    <w:rsid w:val="008E35DF"/>
    <w:rsid w:val="008E74CA"/>
    <w:rsid w:val="008E790C"/>
    <w:rsid w:val="008F23B3"/>
    <w:rsid w:val="008F3E67"/>
    <w:rsid w:val="008F54FE"/>
    <w:rsid w:val="0090048F"/>
    <w:rsid w:val="00903FEE"/>
    <w:rsid w:val="00904C2E"/>
    <w:rsid w:val="00905D95"/>
    <w:rsid w:val="0090632F"/>
    <w:rsid w:val="009069A5"/>
    <w:rsid w:val="00907D4B"/>
    <w:rsid w:val="009109ED"/>
    <w:rsid w:val="00914558"/>
    <w:rsid w:val="00916AFB"/>
    <w:rsid w:val="0092407A"/>
    <w:rsid w:val="00924D7C"/>
    <w:rsid w:val="0093028B"/>
    <w:rsid w:val="00933976"/>
    <w:rsid w:val="00936E1D"/>
    <w:rsid w:val="009371B1"/>
    <w:rsid w:val="00945CF9"/>
    <w:rsid w:val="00946024"/>
    <w:rsid w:val="00946D31"/>
    <w:rsid w:val="00950810"/>
    <w:rsid w:val="00951B82"/>
    <w:rsid w:val="009546C3"/>
    <w:rsid w:val="009556E2"/>
    <w:rsid w:val="0095660E"/>
    <w:rsid w:val="00960559"/>
    <w:rsid w:val="0096154D"/>
    <w:rsid w:val="00962424"/>
    <w:rsid w:val="009648F8"/>
    <w:rsid w:val="0097513A"/>
    <w:rsid w:val="00975A56"/>
    <w:rsid w:val="0098130C"/>
    <w:rsid w:val="00981A6C"/>
    <w:rsid w:val="00990EB1"/>
    <w:rsid w:val="009922AA"/>
    <w:rsid w:val="00993361"/>
    <w:rsid w:val="00993BF6"/>
    <w:rsid w:val="009947A2"/>
    <w:rsid w:val="0099593E"/>
    <w:rsid w:val="0099599D"/>
    <w:rsid w:val="009A2AEF"/>
    <w:rsid w:val="009A5E3A"/>
    <w:rsid w:val="009A6D9E"/>
    <w:rsid w:val="009A73AE"/>
    <w:rsid w:val="009A78C3"/>
    <w:rsid w:val="009A7EA9"/>
    <w:rsid w:val="009B018F"/>
    <w:rsid w:val="009B0219"/>
    <w:rsid w:val="009B1B7E"/>
    <w:rsid w:val="009B3850"/>
    <w:rsid w:val="009B43DF"/>
    <w:rsid w:val="009B6CE9"/>
    <w:rsid w:val="009B6FFD"/>
    <w:rsid w:val="009C067D"/>
    <w:rsid w:val="009C26C1"/>
    <w:rsid w:val="009C2C8C"/>
    <w:rsid w:val="009C4981"/>
    <w:rsid w:val="009C5C7A"/>
    <w:rsid w:val="009C652B"/>
    <w:rsid w:val="009D0C16"/>
    <w:rsid w:val="009D1556"/>
    <w:rsid w:val="009D1752"/>
    <w:rsid w:val="009D210B"/>
    <w:rsid w:val="009D2962"/>
    <w:rsid w:val="009D3ED9"/>
    <w:rsid w:val="009D53DE"/>
    <w:rsid w:val="009D649A"/>
    <w:rsid w:val="009E37F5"/>
    <w:rsid w:val="009E4FAD"/>
    <w:rsid w:val="009E5B30"/>
    <w:rsid w:val="009E5F79"/>
    <w:rsid w:val="009E7C96"/>
    <w:rsid w:val="009F0256"/>
    <w:rsid w:val="009F306F"/>
    <w:rsid w:val="009F3267"/>
    <w:rsid w:val="009F7E75"/>
    <w:rsid w:val="009F7FA3"/>
    <w:rsid w:val="00A04491"/>
    <w:rsid w:val="00A0466D"/>
    <w:rsid w:val="00A05C05"/>
    <w:rsid w:val="00A06475"/>
    <w:rsid w:val="00A071B5"/>
    <w:rsid w:val="00A110C7"/>
    <w:rsid w:val="00A12A25"/>
    <w:rsid w:val="00A12AA2"/>
    <w:rsid w:val="00A13814"/>
    <w:rsid w:val="00A13A86"/>
    <w:rsid w:val="00A14507"/>
    <w:rsid w:val="00A15486"/>
    <w:rsid w:val="00A15CC6"/>
    <w:rsid w:val="00A20DF9"/>
    <w:rsid w:val="00A23527"/>
    <w:rsid w:val="00A26F8C"/>
    <w:rsid w:val="00A30745"/>
    <w:rsid w:val="00A33053"/>
    <w:rsid w:val="00A34ACD"/>
    <w:rsid w:val="00A36A68"/>
    <w:rsid w:val="00A40DCC"/>
    <w:rsid w:val="00A413CE"/>
    <w:rsid w:val="00A41AD6"/>
    <w:rsid w:val="00A43F49"/>
    <w:rsid w:val="00A44FCE"/>
    <w:rsid w:val="00A4534E"/>
    <w:rsid w:val="00A4727F"/>
    <w:rsid w:val="00A474F5"/>
    <w:rsid w:val="00A579D8"/>
    <w:rsid w:val="00A60F8F"/>
    <w:rsid w:val="00A610F4"/>
    <w:rsid w:val="00A62331"/>
    <w:rsid w:val="00A6377A"/>
    <w:rsid w:val="00A639B9"/>
    <w:rsid w:val="00A63BAD"/>
    <w:rsid w:val="00A6501B"/>
    <w:rsid w:val="00A6747F"/>
    <w:rsid w:val="00A70D4D"/>
    <w:rsid w:val="00A7416E"/>
    <w:rsid w:val="00A74BBA"/>
    <w:rsid w:val="00A75305"/>
    <w:rsid w:val="00A82240"/>
    <w:rsid w:val="00A836D8"/>
    <w:rsid w:val="00A84789"/>
    <w:rsid w:val="00A84CCF"/>
    <w:rsid w:val="00A85795"/>
    <w:rsid w:val="00A85FD9"/>
    <w:rsid w:val="00A91329"/>
    <w:rsid w:val="00A952B2"/>
    <w:rsid w:val="00A97743"/>
    <w:rsid w:val="00AA2966"/>
    <w:rsid w:val="00AA37DB"/>
    <w:rsid w:val="00AA5B1C"/>
    <w:rsid w:val="00AA70FD"/>
    <w:rsid w:val="00AB049D"/>
    <w:rsid w:val="00AB1D61"/>
    <w:rsid w:val="00AB212B"/>
    <w:rsid w:val="00AB2746"/>
    <w:rsid w:val="00AB4153"/>
    <w:rsid w:val="00AB444B"/>
    <w:rsid w:val="00AB742B"/>
    <w:rsid w:val="00AC1008"/>
    <w:rsid w:val="00AC1591"/>
    <w:rsid w:val="00AC1AA9"/>
    <w:rsid w:val="00AC1B09"/>
    <w:rsid w:val="00AC7D62"/>
    <w:rsid w:val="00AD04F0"/>
    <w:rsid w:val="00AD1AAE"/>
    <w:rsid w:val="00AD284C"/>
    <w:rsid w:val="00AD3C70"/>
    <w:rsid w:val="00AD582D"/>
    <w:rsid w:val="00AD69D6"/>
    <w:rsid w:val="00AD6F03"/>
    <w:rsid w:val="00AE636F"/>
    <w:rsid w:val="00AE6768"/>
    <w:rsid w:val="00AE700A"/>
    <w:rsid w:val="00AE726C"/>
    <w:rsid w:val="00AE7675"/>
    <w:rsid w:val="00AF0059"/>
    <w:rsid w:val="00AF0200"/>
    <w:rsid w:val="00AF0C0D"/>
    <w:rsid w:val="00AF0FA7"/>
    <w:rsid w:val="00AF1388"/>
    <w:rsid w:val="00AF1921"/>
    <w:rsid w:val="00AF3460"/>
    <w:rsid w:val="00AF494F"/>
    <w:rsid w:val="00AF5FCA"/>
    <w:rsid w:val="00AF7484"/>
    <w:rsid w:val="00B0081F"/>
    <w:rsid w:val="00B00F1C"/>
    <w:rsid w:val="00B0179D"/>
    <w:rsid w:val="00B023B8"/>
    <w:rsid w:val="00B03F04"/>
    <w:rsid w:val="00B05034"/>
    <w:rsid w:val="00B05FC4"/>
    <w:rsid w:val="00B06488"/>
    <w:rsid w:val="00B14303"/>
    <w:rsid w:val="00B21AF5"/>
    <w:rsid w:val="00B233BC"/>
    <w:rsid w:val="00B233E8"/>
    <w:rsid w:val="00B243A0"/>
    <w:rsid w:val="00B247C4"/>
    <w:rsid w:val="00B2534F"/>
    <w:rsid w:val="00B27388"/>
    <w:rsid w:val="00B27942"/>
    <w:rsid w:val="00B33390"/>
    <w:rsid w:val="00B34A14"/>
    <w:rsid w:val="00B35B56"/>
    <w:rsid w:val="00B40C57"/>
    <w:rsid w:val="00B468BE"/>
    <w:rsid w:val="00B54A52"/>
    <w:rsid w:val="00B62E3B"/>
    <w:rsid w:val="00B643C8"/>
    <w:rsid w:val="00B64524"/>
    <w:rsid w:val="00B66E5C"/>
    <w:rsid w:val="00B7216B"/>
    <w:rsid w:val="00B74B88"/>
    <w:rsid w:val="00B7536B"/>
    <w:rsid w:val="00B760F9"/>
    <w:rsid w:val="00B81E63"/>
    <w:rsid w:val="00B82A94"/>
    <w:rsid w:val="00B82F82"/>
    <w:rsid w:val="00B84EE2"/>
    <w:rsid w:val="00B85374"/>
    <w:rsid w:val="00B85A1B"/>
    <w:rsid w:val="00B8642D"/>
    <w:rsid w:val="00B86544"/>
    <w:rsid w:val="00B87E13"/>
    <w:rsid w:val="00B905AE"/>
    <w:rsid w:val="00B91535"/>
    <w:rsid w:val="00B91684"/>
    <w:rsid w:val="00B92C37"/>
    <w:rsid w:val="00B9348C"/>
    <w:rsid w:val="00BA0188"/>
    <w:rsid w:val="00BA0909"/>
    <w:rsid w:val="00BA2A8C"/>
    <w:rsid w:val="00BA37A1"/>
    <w:rsid w:val="00BA4114"/>
    <w:rsid w:val="00BA42AC"/>
    <w:rsid w:val="00BA73B6"/>
    <w:rsid w:val="00BB09E3"/>
    <w:rsid w:val="00BB133D"/>
    <w:rsid w:val="00BB1BF7"/>
    <w:rsid w:val="00BC03AC"/>
    <w:rsid w:val="00BC2FB7"/>
    <w:rsid w:val="00BC30AF"/>
    <w:rsid w:val="00BC4C9D"/>
    <w:rsid w:val="00BC4E36"/>
    <w:rsid w:val="00BC5782"/>
    <w:rsid w:val="00BC6A02"/>
    <w:rsid w:val="00BC6BBD"/>
    <w:rsid w:val="00BD48AB"/>
    <w:rsid w:val="00BD70B2"/>
    <w:rsid w:val="00BD7C65"/>
    <w:rsid w:val="00BE0742"/>
    <w:rsid w:val="00BE1B6A"/>
    <w:rsid w:val="00BE1B7A"/>
    <w:rsid w:val="00BE1E26"/>
    <w:rsid w:val="00BE2878"/>
    <w:rsid w:val="00BE4D6B"/>
    <w:rsid w:val="00BE6708"/>
    <w:rsid w:val="00BE7D3B"/>
    <w:rsid w:val="00BF0A7E"/>
    <w:rsid w:val="00BF0E01"/>
    <w:rsid w:val="00BF3E83"/>
    <w:rsid w:val="00BF4138"/>
    <w:rsid w:val="00BF44DB"/>
    <w:rsid w:val="00BF49B4"/>
    <w:rsid w:val="00BF5CAF"/>
    <w:rsid w:val="00BF5F72"/>
    <w:rsid w:val="00BF665B"/>
    <w:rsid w:val="00C041FB"/>
    <w:rsid w:val="00C04EA0"/>
    <w:rsid w:val="00C0555D"/>
    <w:rsid w:val="00C06766"/>
    <w:rsid w:val="00C071F2"/>
    <w:rsid w:val="00C10721"/>
    <w:rsid w:val="00C12259"/>
    <w:rsid w:val="00C1399E"/>
    <w:rsid w:val="00C13E6D"/>
    <w:rsid w:val="00C15020"/>
    <w:rsid w:val="00C15562"/>
    <w:rsid w:val="00C21793"/>
    <w:rsid w:val="00C22F52"/>
    <w:rsid w:val="00C2363B"/>
    <w:rsid w:val="00C23B4E"/>
    <w:rsid w:val="00C24192"/>
    <w:rsid w:val="00C33C35"/>
    <w:rsid w:val="00C34259"/>
    <w:rsid w:val="00C34CD5"/>
    <w:rsid w:val="00C4018E"/>
    <w:rsid w:val="00C409FB"/>
    <w:rsid w:val="00C40EA5"/>
    <w:rsid w:val="00C41FA1"/>
    <w:rsid w:val="00C42DF7"/>
    <w:rsid w:val="00C436CE"/>
    <w:rsid w:val="00C45C15"/>
    <w:rsid w:val="00C46A7E"/>
    <w:rsid w:val="00C52652"/>
    <w:rsid w:val="00C52FD8"/>
    <w:rsid w:val="00C54477"/>
    <w:rsid w:val="00C569F6"/>
    <w:rsid w:val="00C572AF"/>
    <w:rsid w:val="00C57618"/>
    <w:rsid w:val="00C57B2D"/>
    <w:rsid w:val="00C61326"/>
    <w:rsid w:val="00C61E4C"/>
    <w:rsid w:val="00C63328"/>
    <w:rsid w:val="00C664FE"/>
    <w:rsid w:val="00C7301D"/>
    <w:rsid w:val="00C73F5F"/>
    <w:rsid w:val="00C74A91"/>
    <w:rsid w:val="00C767BC"/>
    <w:rsid w:val="00C76A62"/>
    <w:rsid w:val="00C815AD"/>
    <w:rsid w:val="00C826CA"/>
    <w:rsid w:val="00C82C33"/>
    <w:rsid w:val="00C844B2"/>
    <w:rsid w:val="00C90EAF"/>
    <w:rsid w:val="00C90F3F"/>
    <w:rsid w:val="00C91261"/>
    <w:rsid w:val="00C93AC8"/>
    <w:rsid w:val="00C9614C"/>
    <w:rsid w:val="00C97B66"/>
    <w:rsid w:val="00CA1CF7"/>
    <w:rsid w:val="00CA20F5"/>
    <w:rsid w:val="00CA329A"/>
    <w:rsid w:val="00CA46E8"/>
    <w:rsid w:val="00CA4D7B"/>
    <w:rsid w:val="00CA54B6"/>
    <w:rsid w:val="00CA55CC"/>
    <w:rsid w:val="00CA7805"/>
    <w:rsid w:val="00CB24DA"/>
    <w:rsid w:val="00CB28DE"/>
    <w:rsid w:val="00CB2C4A"/>
    <w:rsid w:val="00CB530A"/>
    <w:rsid w:val="00CB5675"/>
    <w:rsid w:val="00CC251A"/>
    <w:rsid w:val="00CC3970"/>
    <w:rsid w:val="00CC5375"/>
    <w:rsid w:val="00CC546D"/>
    <w:rsid w:val="00CC7FF4"/>
    <w:rsid w:val="00CD21A4"/>
    <w:rsid w:val="00CE0740"/>
    <w:rsid w:val="00CE0CF2"/>
    <w:rsid w:val="00CE0E76"/>
    <w:rsid w:val="00CE333C"/>
    <w:rsid w:val="00CE4D72"/>
    <w:rsid w:val="00CE7191"/>
    <w:rsid w:val="00CE7F63"/>
    <w:rsid w:val="00CF0084"/>
    <w:rsid w:val="00CF1E1A"/>
    <w:rsid w:val="00CF33C9"/>
    <w:rsid w:val="00CF3904"/>
    <w:rsid w:val="00CF5AAA"/>
    <w:rsid w:val="00CF6FD6"/>
    <w:rsid w:val="00CF76ED"/>
    <w:rsid w:val="00D01FDA"/>
    <w:rsid w:val="00D02208"/>
    <w:rsid w:val="00D02573"/>
    <w:rsid w:val="00D026BD"/>
    <w:rsid w:val="00D03A59"/>
    <w:rsid w:val="00D03F93"/>
    <w:rsid w:val="00D074F0"/>
    <w:rsid w:val="00D126C7"/>
    <w:rsid w:val="00D12AAD"/>
    <w:rsid w:val="00D12DF0"/>
    <w:rsid w:val="00D151E7"/>
    <w:rsid w:val="00D20F09"/>
    <w:rsid w:val="00D215C3"/>
    <w:rsid w:val="00D22CD8"/>
    <w:rsid w:val="00D231C7"/>
    <w:rsid w:val="00D2519F"/>
    <w:rsid w:val="00D25626"/>
    <w:rsid w:val="00D30841"/>
    <w:rsid w:val="00D30C86"/>
    <w:rsid w:val="00D331CD"/>
    <w:rsid w:val="00D33C2F"/>
    <w:rsid w:val="00D401C8"/>
    <w:rsid w:val="00D412BE"/>
    <w:rsid w:val="00D42C15"/>
    <w:rsid w:val="00D4332F"/>
    <w:rsid w:val="00D43EDD"/>
    <w:rsid w:val="00D4466F"/>
    <w:rsid w:val="00D45D0E"/>
    <w:rsid w:val="00D4678B"/>
    <w:rsid w:val="00D47AAA"/>
    <w:rsid w:val="00D51662"/>
    <w:rsid w:val="00D516E6"/>
    <w:rsid w:val="00D51C5D"/>
    <w:rsid w:val="00D53570"/>
    <w:rsid w:val="00D6513B"/>
    <w:rsid w:val="00D65BEF"/>
    <w:rsid w:val="00D677A3"/>
    <w:rsid w:val="00D703BD"/>
    <w:rsid w:val="00D70491"/>
    <w:rsid w:val="00D704FC"/>
    <w:rsid w:val="00D706EE"/>
    <w:rsid w:val="00D73475"/>
    <w:rsid w:val="00D73A0B"/>
    <w:rsid w:val="00D75EB8"/>
    <w:rsid w:val="00D76978"/>
    <w:rsid w:val="00D80467"/>
    <w:rsid w:val="00D815C0"/>
    <w:rsid w:val="00D82633"/>
    <w:rsid w:val="00D9065A"/>
    <w:rsid w:val="00D90CEF"/>
    <w:rsid w:val="00D91D48"/>
    <w:rsid w:val="00D955E8"/>
    <w:rsid w:val="00DA0FB8"/>
    <w:rsid w:val="00DB0831"/>
    <w:rsid w:val="00DB38A5"/>
    <w:rsid w:val="00DB7321"/>
    <w:rsid w:val="00DB75E8"/>
    <w:rsid w:val="00DC1F66"/>
    <w:rsid w:val="00DC3CC0"/>
    <w:rsid w:val="00DC5652"/>
    <w:rsid w:val="00DC7B55"/>
    <w:rsid w:val="00DD1D71"/>
    <w:rsid w:val="00DD2231"/>
    <w:rsid w:val="00DD34F9"/>
    <w:rsid w:val="00DD4136"/>
    <w:rsid w:val="00DE197B"/>
    <w:rsid w:val="00DE4AD1"/>
    <w:rsid w:val="00DF0564"/>
    <w:rsid w:val="00DF1556"/>
    <w:rsid w:val="00DF505C"/>
    <w:rsid w:val="00DF5E76"/>
    <w:rsid w:val="00E0023E"/>
    <w:rsid w:val="00E02F3F"/>
    <w:rsid w:val="00E035BC"/>
    <w:rsid w:val="00E037CE"/>
    <w:rsid w:val="00E05139"/>
    <w:rsid w:val="00E0653B"/>
    <w:rsid w:val="00E065DE"/>
    <w:rsid w:val="00E12940"/>
    <w:rsid w:val="00E142CE"/>
    <w:rsid w:val="00E17CD5"/>
    <w:rsid w:val="00E20A44"/>
    <w:rsid w:val="00E22582"/>
    <w:rsid w:val="00E2302E"/>
    <w:rsid w:val="00E23594"/>
    <w:rsid w:val="00E23B88"/>
    <w:rsid w:val="00E2598D"/>
    <w:rsid w:val="00E26362"/>
    <w:rsid w:val="00E2693A"/>
    <w:rsid w:val="00E41945"/>
    <w:rsid w:val="00E41EC1"/>
    <w:rsid w:val="00E43031"/>
    <w:rsid w:val="00E44218"/>
    <w:rsid w:val="00E46184"/>
    <w:rsid w:val="00E516DF"/>
    <w:rsid w:val="00E51B7E"/>
    <w:rsid w:val="00E54534"/>
    <w:rsid w:val="00E5502D"/>
    <w:rsid w:val="00E55E6B"/>
    <w:rsid w:val="00E57198"/>
    <w:rsid w:val="00E5772D"/>
    <w:rsid w:val="00E60D2E"/>
    <w:rsid w:val="00E613E1"/>
    <w:rsid w:val="00E6290E"/>
    <w:rsid w:val="00E63461"/>
    <w:rsid w:val="00E64BFE"/>
    <w:rsid w:val="00E6558A"/>
    <w:rsid w:val="00E65DEB"/>
    <w:rsid w:val="00E66C0F"/>
    <w:rsid w:val="00E66C74"/>
    <w:rsid w:val="00E67E0F"/>
    <w:rsid w:val="00E717D1"/>
    <w:rsid w:val="00E71FCE"/>
    <w:rsid w:val="00E72386"/>
    <w:rsid w:val="00E72C69"/>
    <w:rsid w:val="00E75380"/>
    <w:rsid w:val="00E81645"/>
    <w:rsid w:val="00E82645"/>
    <w:rsid w:val="00E84D74"/>
    <w:rsid w:val="00E85D0E"/>
    <w:rsid w:val="00E87424"/>
    <w:rsid w:val="00E900E4"/>
    <w:rsid w:val="00E90ABB"/>
    <w:rsid w:val="00E910C1"/>
    <w:rsid w:val="00E910E0"/>
    <w:rsid w:val="00E914E4"/>
    <w:rsid w:val="00E91B23"/>
    <w:rsid w:val="00E9225C"/>
    <w:rsid w:val="00E934C7"/>
    <w:rsid w:val="00E93C81"/>
    <w:rsid w:val="00E944FC"/>
    <w:rsid w:val="00E945EE"/>
    <w:rsid w:val="00E94A67"/>
    <w:rsid w:val="00E94C5C"/>
    <w:rsid w:val="00E97496"/>
    <w:rsid w:val="00EA1443"/>
    <w:rsid w:val="00EA1AF7"/>
    <w:rsid w:val="00EA24E5"/>
    <w:rsid w:val="00EA2DA6"/>
    <w:rsid w:val="00EA4D85"/>
    <w:rsid w:val="00EA5901"/>
    <w:rsid w:val="00EA66E5"/>
    <w:rsid w:val="00EB048C"/>
    <w:rsid w:val="00EB0A81"/>
    <w:rsid w:val="00EB300B"/>
    <w:rsid w:val="00EB5460"/>
    <w:rsid w:val="00EB7900"/>
    <w:rsid w:val="00EC0637"/>
    <w:rsid w:val="00EC273B"/>
    <w:rsid w:val="00EC30D6"/>
    <w:rsid w:val="00EC5798"/>
    <w:rsid w:val="00EC603F"/>
    <w:rsid w:val="00EC6EFF"/>
    <w:rsid w:val="00EC722F"/>
    <w:rsid w:val="00EC72B9"/>
    <w:rsid w:val="00EC7D90"/>
    <w:rsid w:val="00ED0FEA"/>
    <w:rsid w:val="00ED2CFF"/>
    <w:rsid w:val="00ED3102"/>
    <w:rsid w:val="00ED38B8"/>
    <w:rsid w:val="00ED3C71"/>
    <w:rsid w:val="00ED45AF"/>
    <w:rsid w:val="00ED48B7"/>
    <w:rsid w:val="00EE0AB3"/>
    <w:rsid w:val="00EE1AD7"/>
    <w:rsid w:val="00EE1E53"/>
    <w:rsid w:val="00EE2FE4"/>
    <w:rsid w:val="00EE444D"/>
    <w:rsid w:val="00EE46E3"/>
    <w:rsid w:val="00EE4921"/>
    <w:rsid w:val="00EE61E5"/>
    <w:rsid w:val="00EE683F"/>
    <w:rsid w:val="00EE6E72"/>
    <w:rsid w:val="00EF2257"/>
    <w:rsid w:val="00EF250D"/>
    <w:rsid w:val="00EF71C3"/>
    <w:rsid w:val="00EF7594"/>
    <w:rsid w:val="00F031D5"/>
    <w:rsid w:val="00F03588"/>
    <w:rsid w:val="00F04245"/>
    <w:rsid w:val="00F06822"/>
    <w:rsid w:val="00F068C1"/>
    <w:rsid w:val="00F1043E"/>
    <w:rsid w:val="00F11EA3"/>
    <w:rsid w:val="00F12A49"/>
    <w:rsid w:val="00F151F3"/>
    <w:rsid w:val="00F155A1"/>
    <w:rsid w:val="00F167D3"/>
    <w:rsid w:val="00F17B76"/>
    <w:rsid w:val="00F25EC6"/>
    <w:rsid w:val="00F316C3"/>
    <w:rsid w:val="00F34A26"/>
    <w:rsid w:val="00F34C18"/>
    <w:rsid w:val="00F35116"/>
    <w:rsid w:val="00F37BE6"/>
    <w:rsid w:val="00F40076"/>
    <w:rsid w:val="00F40F44"/>
    <w:rsid w:val="00F42A80"/>
    <w:rsid w:val="00F44806"/>
    <w:rsid w:val="00F45047"/>
    <w:rsid w:val="00F46B13"/>
    <w:rsid w:val="00F47861"/>
    <w:rsid w:val="00F5703A"/>
    <w:rsid w:val="00F5730E"/>
    <w:rsid w:val="00F57D1F"/>
    <w:rsid w:val="00F61859"/>
    <w:rsid w:val="00F61FEA"/>
    <w:rsid w:val="00F645FE"/>
    <w:rsid w:val="00F64DA0"/>
    <w:rsid w:val="00F65AE8"/>
    <w:rsid w:val="00F66302"/>
    <w:rsid w:val="00F6665F"/>
    <w:rsid w:val="00F712A6"/>
    <w:rsid w:val="00F714AB"/>
    <w:rsid w:val="00F7287E"/>
    <w:rsid w:val="00F73A23"/>
    <w:rsid w:val="00F73C91"/>
    <w:rsid w:val="00F77750"/>
    <w:rsid w:val="00F80CEE"/>
    <w:rsid w:val="00F82E04"/>
    <w:rsid w:val="00F8619F"/>
    <w:rsid w:val="00F866FB"/>
    <w:rsid w:val="00F875A5"/>
    <w:rsid w:val="00F93E87"/>
    <w:rsid w:val="00F96253"/>
    <w:rsid w:val="00FA1023"/>
    <w:rsid w:val="00FA2B7E"/>
    <w:rsid w:val="00FA2F9B"/>
    <w:rsid w:val="00FA341E"/>
    <w:rsid w:val="00FA5824"/>
    <w:rsid w:val="00FA756A"/>
    <w:rsid w:val="00FB12DC"/>
    <w:rsid w:val="00FB18BD"/>
    <w:rsid w:val="00FB24E5"/>
    <w:rsid w:val="00FB4C05"/>
    <w:rsid w:val="00FB5748"/>
    <w:rsid w:val="00FB69F0"/>
    <w:rsid w:val="00FC0BE5"/>
    <w:rsid w:val="00FC0C56"/>
    <w:rsid w:val="00FC443F"/>
    <w:rsid w:val="00FC61F5"/>
    <w:rsid w:val="00FC772D"/>
    <w:rsid w:val="00FD546E"/>
    <w:rsid w:val="00FD6C69"/>
    <w:rsid w:val="00FD70CB"/>
    <w:rsid w:val="00FD7AB5"/>
    <w:rsid w:val="00FE3857"/>
    <w:rsid w:val="00FE4599"/>
    <w:rsid w:val="00FE5E14"/>
    <w:rsid w:val="00FF06BA"/>
    <w:rsid w:val="00FF0A8D"/>
    <w:rsid w:val="00FF16AC"/>
    <w:rsid w:val="00FF19B1"/>
    <w:rsid w:val="00FF2DFB"/>
    <w:rsid w:val="00FF49CA"/>
    <w:rsid w:val="00FF5274"/>
    <w:rsid w:val="00FF6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91A78"/>
  <w15:chartTrackingRefBased/>
  <w15:docId w15:val="{8983AB79-F509-4AAE-B72F-A5FFC86C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68A1"/>
    <w:rPr>
      <w:rFonts w:ascii="Times New Roman" w:eastAsia="宋体" w:hAnsi="Times New Roman" w:cs="Times New Roman"/>
      <w:kern w:val="0"/>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3130"/>
    <w:pPr>
      <w:ind w:firstLineChars="200" w:firstLine="420"/>
    </w:pPr>
  </w:style>
  <w:style w:type="paragraph" w:styleId="a4">
    <w:name w:val="header"/>
    <w:basedOn w:val="a"/>
    <w:link w:val="1"/>
    <w:uiPriority w:val="99"/>
    <w:unhideWhenUsed/>
    <w:rsid w:val="00344B05"/>
    <w:pPr>
      <w:pBdr>
        <w:bottom w:val="single" w:sz="6" w:space="1" w:color="auto"/>
      </w:pBdr>
      <w:tabs>
        <w:tab w:val="center" w:pos="4153"/>
        <w:tab w:val="right" w:pos="8306"/>
      </w:tabs>
      <w:snapToGrid w:val="0"/>
      <w:jc w:val="center"/>
    </w:pPr>
    <w:rPr>
      <w:sz w:val="18"/>
      <w:szCs w:val="18"/>
    </w:rPr>
  </w:style>
  <w:style w:type="character" w:customStyle="1" w:styleId="1">
    <w:name w:val="页眉 字符1"/>
    <w:basedOn w:val="a0"/>
    <w:link w:val="a4"/>
    <w:uiPriority w:val="99"/>
    <w:rsid w:val="00344B05"/>
    <w:rPr>
      <w:rFonts w:ascii="Times New Roman" w:eastAsia="宋体" w:hAnsi="Times New Roman" w:cs="Times New Roman"/>
      <w:kern w:val="0"/>
      <w:sz w:val="18"/>
      <w:szCs w:val="18"/>
      <w:lang w:val="en-GB"/>
    </w:rPr>
  </w:style>
  <w:style w:type="paragraph" w:styleId="a5">
    <w:name w:val="footer"/>
    <w:basedOn w:val="a"/>
    <w:link w:val="a6"/>
    <w:uiPriority w:val="99"/>
    <w:unhideWhenUsed/>
    <w:rsid w:val="00344B05"/>
    <w:pPr>
      <w:tabs>
        <w:tab w:val="center" w:pos="4153"/>
        <w:tab w:val="right" w:pos="8306"/>
      </w:tabs>
      <w:snapToGrid w:val="0"/>
    </w:pPr>
    <w:rPr>
      <w:sz w:val="18"/>
      <w:szCs w:val="18"/>
    </w:rPr>
  </w:style>
  <w:style w:type="character" w:customStyle="1" w:styleId="a6">
    <w:name w:val="页脚 字符"/>
    <w:basedOn w:val="a0"/>
    <w:link w:val="a5"/>
    <w:uiPriority w:val="99"/>
    <w:rsid w:val="00344B05"/>
    <w:rPr>
      <w:rFonts w:ascii="Times New Roman" w:eastAsia="宋体" w:hAnsi="Times New Roman" w:cs="Times New Roman"/>
      <w:kern w:val="0"/>
      <w:sz w:val="18"/>
      <w:szCs w:val="18"/>
      <w:lang w:val="en-GB"/>
    </w:rPr>
  </w:style>
  <w:style w:type="character" w:customStyle="1" w:styleId="a7">
    <w:name w:val="页眉 字符"/>
    <w:uiPriority w:val="99"/>
    <w:rsid w:val="00344B05"/>
    <w:rPr>
      <w:sz w:val="18"/>
      <w:szCs w:val="18"/>
      <w:lang w:val="en-GB"/>
    </w:rPr>
  </w:style>
  <w:style w:type="character" w:customStyle="1" w:styleId="apple-converted-space">
    <w:name w:val="apple-converted-space"/>
    <w:basedOn w:val="a0"/>
    <w:rsid w:val="00E23B88"/>
  </w:style>
  <w:style w:type="paragraph" w:styleId="a8">
    <w:name w:val="Balloon Text"/>
    <w:basedOn w:val="a"/>
    <w:link w:val="a9"/>
    <w:uiPriority w:val="99"/>
    <w:semiHidden/>
    <w:unhideWhenUsed/>
    <w:rsid w:val="00351008"/>
    <w:rPr>
      <w:sz w:val="18"/>
      <w:szCs w:val="18"/>
    </w:rPr>
  </w:style>
  <w:style w:type="character" w:customStyle="1" w:styleId="a9">
    <w:name w:val="批注框文本 字符"/>
    <w:basedOn w:val="a0"/>
    <w:link w:val="a8"/>
    <w:uiPriority w:val="99"/>
    <w:semiHidden/>
    <w:rsid w:val="00351008"/>
    <w:rPr>
      <w:rFonts w:ascii="Times New Roman" w:eastAsia="宋体" w:hAnsi="Times New Roman" w:cs="Times New Roman"/>
      <w:kern w:val="0"/>
      <w:sz w:val="18"/>
      <w:szCs w:val="18"/>
      <w:lang w:val="en-GB"/>
    </w:rPr>
  </w:style>
  <w:style w:type="numbering" w:customStyle="1" w:styleId="10">
    <w:name w:val="无列表1"/>
    <w:next w:val="a2"/>
    <w:uiPriority w:val="99"/>
    <w:semiHidden/>
    <w:unhideWhenUsed/>
    <w:rsid w:val="001100D8"/>
  </w:style>
  <w:style w:type="numbering" w:customStyle="1" w:styleId="2">
    <w:name w:val="无列表2"/>
    <w:next w:val="a2"/>
    <w:uiPriority w:val="99"/>
    <w:semiHidden/>
    <w:unhideWhenUsed/>
    <w:rsid w:val="001100D8"/>
  </w:style>
  <w:style w:type="character" w:styleId="aa">
    <w:name w:val="annotation reference"/>
    <w:basedOn w:val="a0"/>
    <w:uiPriority w:val="99"/>
    <w:semiHidden/>
    <w:unhideWhenUsed/>
    <w:rsid w:val="00736588"/>
    <w:rPr>
      <w:sz w:val="21"/>
      <w:szCs w:val="21"/>
    </w:rPr>
  </w:style>
  <w:style w:type="paragraph" w:styleId="ab">
    <w:name w:val="annotation text"/>
    <w:basedOn w:val="a"/>
    <w:link w:val="ac"/>
    <w:uiPriority w:val="99"/>
    <w:semiHidden/>
    <w:unhideWhenUsed/>
    <w:rsid w:val="00736588"/>
  </w:style>
  <w:style w:type="character" w:customStyle="1" w:styleId="ac">
    <w:name w:val="批注文字 字符"/>
    <w:basedOn w:val="a0"/>
    <w:link w:val="ab"/>
    <w:uiPriority w:val="99"/>
    <w:semiHidden/>
    <w:rsid w:val="00736588"/>
    <w:rPr>
      <w:rFonts w:ascii="Times New Roman" w:eastAsia="宋体" w:hAnsi="Times New Roman" w:cs="Times New Roman"/>
      <w:kern w:val="0"/>
      <w:sz w:val="24"/>
      <w:szCs w:val="24"/>
      <w:lang w:val="en-GB"/>
    </w:rPr>
  </w:style>
  <w:style w:type="paragraph" w:styleId="ad">
    <w:name w:val="annotation subject"/>
    <w:basedOn w:val="ab"/>
    <w:next w:val="ab"/>
    <w:link w:val="ae"/>
    <w:uiPriority w:val="99"/>
    <w:semiHidden/>
    <w:unhideWhenUsed/>
    <w:rsid w:val="00736588"/>
    <w:rPr>
      <w:b/>
      <w:bCs/>
    </w:rPr>
  </w:style>
  <w:style w:type="character" w:customStyle="1" w:styleId="ae">
    <w:name w:val="批注主题 字符"/>
    <w:basedOn w:val="ac"/>
    <w:link w:val="ad"/>
    <w:uiPriority w:val="99"/>
    <w:semiHidden/>
    <w:rsid w:val="00736588"/>
    <w:rPr>
      <w:rFonts w:ascii="Times New Roman" w:eastAsia="宋体" w:hAnsi="Times New Roman" w:cs="Times New Roman"/>
      <w:b/>
      <w:bCs/>
      <w:kern w:val="0"/>
      <w:sz w:val="24"/>
      <w:szCs w:val="24"/>
      <w:lang w:val="en-GB"/>
    </w:rPr>
  </w:style>
  <w:style w:type="paragraph" w:styleId="af">
    <w:name w:val="Revision"/>
    <w:hidden/>
    <w:uiPriority w:val="99"/>
    <w:semiHidden/>
    <w:rsid w:val="00924D7C"/>
    <w:rPr>
      <w:rFonts w:ascii="Times New Roman" w:eastAsia="宋体" w:hAnsi="Times New Roman" w:cs="Times New Roman"/>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204596">
      <w:bodyDiv w:val="1"/>
      <w:marLeft w:val="0"/>
      <w:marRight w:val="0"/>
      <w:marTop w:val="0"/>
      <w:marBottom w:val="0"/>
      <w:divBdr>
        <w:top w:val="none" w:sz="0" w:space="0" w:color="auto"/>
        <w:left w:val="none" w:sz="0" w:space="0" w:color="auto"/>
        <w:bottom w:val="none" w:sz="0" w:space="0" w:color="auto"/>
        <w:right w:val="none" w:sz="0" w:space="0" w:color="auto"/>
      </w:divBdr>
    </w:div>
    <w:div w:id="969751200">
      <w:bodyDiv w:val="1"/>
      <w:marLeft w:val="0"/>
      <w:marRight w:val="0"/>
      <w:marTop w:val="0"/>
      <w:marBottom w:val="0"/>
      <w:divBdr>
        <w:top w:val="none" w:sz="0" w:space="0" w:color="auto"/>
        <w:left w:val="none" w:sz="0" w:space="0" w:color="auto"/>
        <w:bottom w:val="none" w:sz="0" w:space="0" w:color="auto"/>
        <w:right w:val="none" w:sz="0" w:space="0" w:color="auto"/>
      </w:divBdr>
    </w:div>
    <w:div w:id="1691031993">
      <w:bodyDiv w:val="1"/>
      <w:marLeft w:val="0"/>
      <w:marRight w:val="0"/>
      <w:marTop w:val="0"/>
      <w:marBottom w:val="0"/>
      <w:divBdr>
        <w:top w:val="none" w:sz="0" w:space="0" w:color="auto"/>
        <w:left w:val="none" w:sz="0" w:space="0" w:color="auto"/>
        <w:bottom w:val="none" w:sz="0" w:space="0" w:color="auto"/>
        <w:right w:val="none" w:sz="0" w:space="0" w:color="auto"/>
      </w:divBdr>
      <w:divsChild>
        <w:div w:id="654645867">
          <w:marLeft w:val="0"/>
          <w:marRight w:val="0"/>
          <w:marTop w:val="0"/>
          <w:marBottom w:val="0"/>
          <w:divBdr>
            <w:top w:val="none" w:sz="0" w:space="0" w:color="auto"/>
            <w:left w:val="none" w:sz="0" w:space="0" w:color="auto"/>
            <w:bottom w:val="none" w:sz="0" w:space="0" w:color="auto"/>
            <w:right w:val="none" w:sz="0" w:space="0" w:color="auto"/>
          </w:divBdr>
          <w:divsChild>
            <w:div w:id="2077629329">
              <w:marLeft w:val="0"/>
              <w:marRight w:val="60"/>
              <w:marTop w:val="0"/>
              <w:marBottom w:val="0"/>
              <w:divBdr>
                <w:top w:val="none" w:sz="0" w:space="0" w:color="auto"/>
                <w:left w:val="none" w:sz="0" w:space="0" w:color="auto"/>
                <w:bottom w:val="none" w:sz="0" w:space="0" w:color="auto"/>
                <w:right w:val="none" w:sz="0" w:space="0" w:color="auto"/>
              </w:divBdr>
              <w:divsChild>
                <w:div w:id="34425510">
                  <w:marLeft w:val="0"/>
                  <w:marRight w:val="0"/>
                  <w:marTop w:val="0"/>
                  <w:marBottom w:val="120"/>
                  <w:divBdr>
                    <w:top w:val="single" w:sz="6" w:space="0" w:color="A0A0A0"/>
                    <w:left w:val="single" w:sz="6" w:space="0" w:color="B9B9B9"/>
                    <w:bottom w:val="single" w:sz="6" w:space="0" w:color="B9B9B9"/>
                    <w:right w:val="single" w:sz="6" w:space="0" w:color="B9B9B9"/>
                  </w:divBdr>
                  <w:divsChild>
                    <w:div w:id="164976186">
                      <w:marLeft w:val="0"/>
                      <w:marRight w:val="0"/>
                      <w:marTop w:val="0"/>
                      <w:marBottom w:val="0"/>
                      <w:divBdr>
                        <w:top w:val="none" w:sz="0" w:space="0" w:color="auto"/>
                        <w:left w:val="none" w:sz="0" w:space="0" w:color="auto"/>
                        <w:bottom w:val="none" w:sz="0" w:space="0" w:color="auto"/>
                        <w:right w:val="none" w:sz="0" w:space="0" w:color="auto"/>
                      </w:divBdr>
                    </w:div>
                    <w:div w:id="379790989">
                      <w:marLeft w:val="0"/>
                      <w:marRight w:val="0"/>
                      <w:marTop w:val="0"/>
                      <w:marBottom w:val="0"/>
                      <w:divBdr>
                        <w:top w:val="none" w:sz="0" w:space="0" w:color="auto"/>
                        <w:left w:val="none" w:sz="0" w:space="0" w:color="auto"/>
                        <w:bottom w:val="none" w:sz="0" w:space="0" w:color="auto"/>
                        <w:right w:val="none" w:sz="0" w:space="0" w:color="auto"/>
                      </w:divBdr>
                    </w:div>
                  </w:divsChild>
                </w:div>
                <w:div w:id="141485911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817764163">
          <w:marLeft w:val="0"/>
          <w:marRight w:val="0"/>
          <w:marTop w:val="0"/>
          <w:marBottom w:val="0"/>
          <w:divBdr>
            <w:top w:val="none" w:sz="0" w:space="0" w:color="auto"/>
            <w:left w:val="none" w:sz="0" w:space="0" w:color="auto"/>
            <w:bottom w:val="none" w:sz="0" w:space="0" w:color="auto"/>
            <w:right w:val="none" w:sz="0" w:space="0" w:color="auto"/>
          </w:divBdr>
          <w:divsChild>
            <w:div w:id="632443097">
              <w:marLeft w:val="60"/>
              <w:marRight w:val="0"/>
              <w:marTop w:val="0"/>
              <w:marBottom w:val="0"/>
              <w:divBdr>
                <w:top w:val="none" w:sz="0" w:space="0" w:color="auto"/>
                <w:left w:val="none" w:sz="0" w:space="0" w:color="auto"/>
                <w:bottom w:val="none" w:sz="0" w:space="0" w:color="auto"/>
                <w:right w:val="none" w:sz="0" w:space="0" w:color="auto"/>
              </w:divBdr>
              <w:divsChild>
                <w:div w:id="1800343470">
                  <w:marLeft w:val="0"/>
                  <w:marRight w:val="0"/>
                  <w:marTop w:val="0"/>
                  <w:marBottom w:val="0"/>
                  <w:divBdr>
                    <w:top w:val="none" w:sz="0" w:space="0" w:color="auto"/>
                    <w:left w:val="none" w:sz="0" w:space="0" w:color="auto"/>
                    <w:bottom w:val="none" w:sz="0" w:space="0" w:color="auto"/>
                    <w:right w:val="none" w:sz="0" w:space="0" w:color="auto"/>
                  </w:divBdr>
                  <w:divsChild>
                    <w:div w:id="147790172">
                      <w:marLeft w:val="0"/>
                      <w:marRight w:val="0"/>
                      <w:marTop w:val="0"/>
                      <w:marBottom w:val="120"/>
                      <w:divBdr>
                        <w:top w:val="single" w:sz="6" w:space="0" w:color="F5F5F5"/>
                        <w:left w:val="single" w:sz="6" w:space="0" w:color="F5F5F5"/>
                        <w:bottom w:val="single" w:sz="6" w:space="0" w:color="F5F5F5"/>
                        <w:right w:val="single" w:sz="6" w:space="0" w:color="F5F5F5"/>
                      </w:divBdr>
                      <w:divsChild>
                        <w:div w:id="1325888173">
                          <w:marLeft w:val="0"/>
                          <w:marRight w:val="0"/>
                          <w:marTop w:val="0"/>
                          <w:marBottom w:val="0"/>
                          <w:divBdr>
                            <w:top w:val="none" w:sz="0" w:space="0" w:color="auto"/>
                            <w:left w:val="none" w:sz="0" w:space="0" w:color="auto"/>
                            <w:bottom w:val="none" w:sz="0" w:space="0" w:color="auto"/>
                            <w:right w:val="none" w:sz="0" w:space="0" w:color="auto"/>
                          </w:divBdr>
                          <w:divsChild>
                            <w:div w:id="38648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aidu.com/link?url=fUyUK8rl4JqwQMyUfLUqrC0Ar1IGx4synWz-Ysaq5Yw3SjPCRlShOSEDf0KK6FdAmgN5pl5jlxdSORLpVAWleF6V4U13LCqUZTNrXsw822cKt4nxbTkKomcTCMB1sG4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4D42A-C0A0-4F09-B8A2-4B3996F85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41</Pages>
  <Words>7322</Words>
  <Characters>41737</Characters>
  <Application>Microsoft Office Word</Application>
  <DocSecurity>0</DocSecurity>
  <Lines>347</Lines>
  <Paragraphs>97</Paragraphs>
  <ScaleCrop>false</ScaleCrop>
  <Company/>
  <LinksUpToDate>false</LinksUpToDate>
  <CharactersWithSpaces>48962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韩潇川</dc:creator>
  <cp:keywords/>
  <dc:description/>
  <cp:lastModifiedBy>Zhu Jason</cp:lastModifiedBy>
  <cp:revision>65</cp:revision>
  <cp:lastPrinted>2018-01-30T06:55:00Z</cp:lastPrinted>
  <dcterms:created xsi:type="dcterms:W3CDTF">2018-12-17T02:14:00Z</dcterms:created>
  <dcterms:modified xsi:type="dcterms:W3CDTF">2018-12-19T07:33:00Z</dcterms:modified>
</cp:coreProperties>
</file>