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Pr>
          <w:sz w:val="20"/>
          <w:szCs w:val="20"/>
        </w:rPr>
      </w:pPr>
      <w:r>
        <w:rPr>
          <w:sz w:val="20"/>
          <w:szCs w:val="20"/>
        </w:rPr>
        <w:t>Janusz S. Karaszewski</w:t>
      </w:r>
    </w:p>
    <w:p>
      <w:pPr>
        <w:rPr>
          <w:sz w:val="20"/>
          <w:szCs w:val="20"/>
        </w:rPr>
      </w:pPr>
      <w:r>
        <w:rPr>
          <w:sz w:val="20"/>
          <w:szCs w:val="20"/>
        </w:rPr>
        <w:t>7919 Bressingham Drive</w:t>
      </w:r>
    </w:p>
    <w:p>
      <w:pPr>
        <w:rPr>
          <w:sz w:val="20"/>
          <w:szCs w:val="20"/>
        </w:rPr>
      </w:pPr>
      <w:r>
        <w:rPr>
          <w:sz w:val="20"/>
          <w:szCs w:val="20"/>
        </w:rPr>
        <w:t>Fairfax Station, VA 22039</w:t>
      </w:r>
    </w:p>
    <w:p>
      <w:pPr>
        <w:rPr>
          <w:sz w:val="20"/>
          <w:szCs w:val="20"/>
        </w:rPr>
      </w:pPr>
      <w:r>
        <w:rPr>
          <w:sz w:val="20"/>
          <w:szCs w:val="20"/>
        </w:rPr>
        <w:t>+1 703 652 2598</w:t>
      </w:r>
      <w:r>
        <w:rPr>
          <w:sz w:val="20"/>
          <w:szCs w:val="20"/>
        </w:rPr>
        <w:t xml:space="preserve"> Home</w:t>
      </w:r>
    </w:p>
    <w:p>
      <w:pPr>
        <w:rPr>
          <w:sz w:val="20"/>
          <w:szCs w:val="20"/>
        </w:rPr>
      </w:pPr>
      <w:r>
        <w:rPr>
          <w:sz w:val="20"/>
          <w:szCs w:val="20"/>
        </w:rPr>
        <w:t xml:space="preserve">+1 </w:t>
      </w:r>
      <w:r>
        <w:rPr>
          <w:sz w:val="20"/>
          <w:szCs w:val="20"/>
        </w:rPr>
        <w:t>718 928 3820</w:t>
      </w:r>
      <w:r>
        <w:rPr>
          <w:sz w:val="20"/>
          <w:szCs w:val="20"/>
        </w:rPr>
        <w:t xml:space="preserve"> Mobile</w:t>
      </w:r>
    </w:p>
    <w:p>
      <w:pPr>
        <w:rPr>
          <w:sz w:val="20"/>
          <w:szCs w:val="20"/>
        </w:rPr>
      </w:pPr>
      <w:r>
        <w:rPr>
          <w:sz w:val="20"/>
          <w:szCs w:val="20"/>
        </w:rPr>
        <w:t>jslk@me.com</w:t>
      </w:r>
    </w:p>
    <w:p>
      <w:pPr>
        <w:rPr>
          <w:sz w:val="20"/>
        </w:rPr>
      </w:pPr>
    </w:p>
    <w:p>
      <w:pPr>
        <w:jc w:val="both"/>
        <w:rPr>
          <w:b/>
          <w:sz w:val="20"/>
        </w:rPr>
      </w:pPr>
      <w:r>
        <w:rPr>
          <w:b/>
          <w:sz w:val="20"/>
        </w:rPr>
        <w:t>Executive Summary</w:t>
      </w:r>
      <w:r>
        <w:rPr>
          <w:b/>
          <w:sz w:val="20"/>
        </w:rPr>
        <w:tab/>
      </w:r>
    </w:p>
    <w:p>
      <w:pPr>
        <w:jc w:val="both"/>
        <w:rPr>
          <w:sz w:val="20"/>
          <w:szCs w:val="22"/>
        </w:rPr>
      </w:pPr>
      <w:r>
        <w:rPr>
          <w:sz w:val="20"/>
          <w:szCs w:val="22"/>
        </w:rPr>
        <w:t xml:space="preserve">A PMP certified technical manager with </w:t>
      </w:r>
      <w:r>
        <w:rPr>
          <w:sz w:val="20"/>
          <w:szCs w:val="22"/>
        </w:rPr>
        <w:t>eight years of project</w:t>
      </w:r>
      <w:r>
        <w:rPr>
          <w:sz w:val="20"/>
          <w:szCs w:val="22"/>
        </w:rPr>
        <w:t xml:space="preserve"> management experience and an active T</w:t>
      </w:r>
      <w:r>
        <w:rPr>
          <w:sz w:val="20"/>
          <w:szCs w:val="22"/>
        </w:rPr>
        <w:t>S/SCI security clearance, i</w:t>
      </w:r>
      <w:r>
        <w:rPr>
          <w:sz w:val="20"/>
          <w:szCs w:val="22"/>
        </w:rPr>
        <w:t>nterested in pursuing program management opportunities. Seasoned in DFSS and DMAIC to improve business performa</w:t>
      </w:r>
      <w:r>
        <w:rPr>
          <w:sz w:val="20"/>
          <w:szCs w:val="22"/>
        </w:rPr>
        <w:t xml:space="preserve">nce, gap analyses between goals </w:t>
      </w:r>
      <w:r>
        <w:rPr>
          <w:sz w:val="20"/>
          <w:szCs w:val="22"/>
        </w:rPr>
        <w:t>and existing infrastructure, and complex systems design to incre</w:t>
      </w:r>
      <w:r>
        <w:rPr>
          <w:sz w:val="20"/>
          <w:szCs w:val="22"/>
        </w:rPr>
        <w:t>ase productivity</w:t>
      </w:r>
      <w:r>
        <w:rPr>
          <w:sz w:val="20"/>
          <w:szCs w:val="22"/>
        </w:rPr>
        <w:t>.</w:t>
      </w:r>
    </w:p>
    <w:p>
      <w:pPr>
        <w:rPr>
          <w:sz w:val="20"/>
          <w:szCs w:val="22"/>
        </w:rPr>
      </w:pPr>
    </w:p>
    <w:p>
      <w:pPr>
        <w:rPr>
          <w:b/>
          <w:sz w:val="20"/>
        </w:rPr>
      </w:pPr>
      <w:r>
        <w:rPr>
          <w:b/>
          <w:sz w:val="20"/>
        </w:rPr>
        <w:t>Roles</w:t>
      </w:r>
    </w:p>
    <w:p>
      <w:pPr>
        <w:rPr>
          <w:rFonts w:cs="Arial"/>
          <w:sz w:val="20"/>
        </w:rPr>
      </w:pPr>
      <w:r>
        <w:rPr>
          <w:rFonts w:cs="Arial"/>
          <w:sz w:val="20"/>
        </w:rPr>
        <w:t>Program Manager</w:t>
      </w:r>
    </w:p>
    <w:p>
      <w:pPr>
        <w:rPr>
          <w:rFonts w:cs="Arial"/>
          <w:sz w:val="20"/>
        </w:rPr>
      </w:pPr>
      <w:r>
        <w:rPr>
          <w:rFonts w:cs="Arial"/>
          <w:sz w:val="20"/>
        </w:rPr>
        <w:t>Project Manager</w:t>
      </w:r>
    </w:p>
    <w:p>
      <w:pPr>
        <w:rPr>
          <w:rFonts w:cs="Arial"/>
          <w:sz w:val="20"/>
        </w:rPr>
      </w:pPr>
      <w:r>
        <w:rPr>
          <w:rFonts w:cs="Arial"/>
          <w:sz w:val="20"/>
        </w:rPr>
        <w:t>Systems Engineer</w:t>
      </w:r>
    </w:p>
    <w:p>
      <w:pPr>
        <w:rPr>
          <w:sz w:val="20"/>
          <w:szCs w:val="22"/>
        </w:rPr>
      </w:pPr>
    </w:p>
    <w:p>
      <w:pPr>
        <w:rPr>
          <w:b/>
          <w:sz w:val="20"/>
        </w:rPr>
      </w:pPr>
      <w:r>
        <w:rPr>
          <w:b/>
          <w:sz w:val="20"/>
        </w:rPr>
        <w:t>PM Tools/Techniques</w:t>
      </w:r>
    </w:p>
    <w:p>
      <w:pPr>
        <w:rPr>
          <w:rFonts w:cs="Arial"/>
          <w:sz w:val="20"/>
        </w:rPr>
      </w:pPr>
      <w:r>
        <w:rPr>
          <w:rFonts w:cs="Arial"/>
          <w:sz w:val="20"/>
        </w:rPr>
        <w:t>Work Breakdown Structure (WBS), Variance Analysis, Estimating, Precedence Diagramming Method (PDM), Schedule Network Analysis, Critical Path Method (CPM), Resource Leveling, Critical Chain Method, Performance Measurement, Vendor Bid Analysis, Cost-Benefit Analysis, Cost of Quality (COQ), Graphical Quality Control</w:t>
      </w:r>
    </w:p>
    <w:p>
      <w:pPr>
        <w:rPr>
          <w:sz w:val="20"/>
          <w:szCs w:val="22"/>
        </w:rPr>
      </w:pPr>
    </w:p>
    <w:p>
      <w:pPr>
        <w:rPr>
          <w:b/>
          <w:sz w:val="20"/>
        </w:rPr>
      </w:pPr>
      <w:r>
        <w:rPr>
          <w:b/>
          <w:sz w:val="20"/>
        </w:rPr>
        <w:t>Industry Application</w:t>
      </w:r>
    </w:p>
    <w:p>
      <w:pPr>
        <w:rPr>
          <w:rFonts w:cs="Arial"/>
          <w:sz w:val="20"/>
        </w:rPr>
      </w:pPr>
      <w:r>
        <w:rPr>
          <w:rFonts w:cs="Arial"/>
          <w:sz w:val="20"/>
        </w:rPr>
        <w:t>Software Development Life Cycle (SDLC) Estimation, Business Process Integration and Modeling, Product Improvement, and Organizational Planning</w:t>
      </w:r>
    </w:p>
    <w:p>
      <w:pPr>
        <w:rPr>
          <w:sz w:val="20"/>
          <w:szCs w:val="22"/>
        </w:rPr>
      </w:pPr>
    </w:p>
    <w:p>
      <w:pPr>
        <w:rPr>
          <w:b/>
          <w:sz w:val="20"/>
        </w:rPr>
      </w:pPr>
      <w:r>
        <w:rPr>
          <w:b/>
          <w:sz w:val="20"/>
        </w:rPr>
        <w:t>Skills Inventory</w:t>
      </w:r>
    </w:p>
    <w:p>
      <w:pPr>
        <w:rPr>
          <w:sz w:val="20"/>
          <w:szCs w:val="22"/>
        </w:rPr>
      </w:pPr>
      <w:r>
        <w:rPr>
          <w:sz w:val="20"/>
          <w:szCs w:val="22"/>
        </w:rPr>
        <w:t>Project Management: Waterfall (General and SDLC), Agile (SDLC), and Spiral (SDLC)</w:t>
      </w:r>
    </w:p>
    <w:p>
      <w:pPr>
        <w:rPr>
          <w:sz w:val="20"/>
          <w:szCs w:val="22"/>
        </w:rPr>
      </w:pPr>
      <w:r>
        <w:rPr>
          <w:sz w:val="20"/>
          <w:szCs w:val="22"/>
        </w:rPr>
        <w:t>Analysis/Design: DFSS (Design for Six Sigma)</w:t>
      </w:r>
    </w:p>
    <w:p>
      <w:pPr>
        <w:rPr>
          <w:sz w:val="20"/>
          <w:szCs w:val="22"/>
        </w:rPr>
      </w:pPr>
      <w:r>
        <w:rPr>
          <w:sz w:val="20"/>
          <w:szCs w:val="22"/>
        </w:rPr>
        <w:t>Quality Improvement: Lean (Six Sigma) and ISO 9000/9001</w:t>
      </w:r>
    </w:p>
    <w:p>
      <w:pPr>
        <w:rPr>
          <w:sz w:val="20"/>
          <w:szCs w:val="22"/>
        </w:rPr>
      </w:pPr>
      <w:r>
        <w:rPr>
          <w:sz w:val="20"/>
          <w:szCs w:val="22"/>
        </w:rPr>
        <w:t>Process Improvement: Capability Maturity Model Integration (CMMI) – Level 3</w:t>
      </w:r>
    </w:p>
    <w:p>
      <w:pPr>
        <w:rPr>
          <w:sz w:val="20"/>
          <w:szCs w:val="22"/>
        </w:rPr>
      </w:pPr>
      <w:r>
        <w:rPr>
          <w:sz w:val="20"/>
          <w:szCs w:val="22"/>
        </w:rPr>
        <w:t>Architecture/Development: C++, Java, J2EE, and SQL</w:t>
      </w:r>
    </w:p>
    <w:p>
      <w:pPr>
        <w:rPr>
          <w:sz w:val="20"/>
          <w:szCs w:val="22"/>
        </w:rPr>
      </w:pPr>
    </w:p>
    <w:p>
      <w:pPr>
        <w:rPr>
          <w:b/>
          <w:sz w:val="20"/>
        </w:rPr>
      </w:pPr>
      <w:r>
        <w:rPr>
          <w:b/>
          <w:sz w:val="20"/>
        </w:rPr>
        <w:t>Education</w:t>
      </w:r>
    </w:p>
    <w:p>
      <w:pPr>
        <w:rPr>
          <w:rFonts w:cs="Arial"/>
          <w:sz w:val="20"/>
        </w:rPr>
      </w:pPr>
      <w:r>
        <w:rPr>
          <w:rFonts w:cs="Arial"/>
          <w:sz w:val="20"/>
        </w:rPr>
        <w:t>Tulane University, MBA</w:t>
      </w:r>
    </w:p>
    <w:p>
      <w:pPr>
        <w:rPr>
          <w:rFonts w:cs="Arial"/>
          <w:sz w:val="20"/>
        </w:rPr>
      </w:pPr>
      <w:r>
        <w:rPr>
          <w:rFonts w:cs="Arial"/>
          <w:sz w:val="20"/>
        </w:rPr>
        <w:t>Georgetown University, BS Physics</w:t>
      </w:r>
    </w:p>
    <w:p>
      <w:pPr>
        <w:rPr>
          <w:rFonts w:cs="Arial"/>
          <w:sz w:val="20"/>
        </w:rPr>
      </w:pPr>
      <w:r>
        <w:rPr>
          <w:rFonts w:cs="Arial"/>
          <w:sz w:val="20"/>
        </w:rPr>
        <w:t>Thomas Jefferson High School for Science &amp; Technology</w:t>
      </w:r>
    </w:p>
    <w:p>
      <w:pPr>
        <w:rPr>
          <w:sz w:val="20"/>
          <w:szCs w:val="22"/>
        </w:rPr>
      </w:pPr>
    </w:p>
    <w:p>
      <w:pPr>
        <w:rPr>
          <w:b/>
          <w:sz w:val="20"/>
        </w:rPr>
      </w:pPr>
      <w:r>
        <w:rPr>
          <w:b/>
          <w:sz w:val="20"/>
        </w:rPr>
        <w:t>Certifications/Memberships</w:t>
      </w:r>
    </w:p>
    <w:p>
      <w:pPr>
        <w:rPr>
          <w:rFonts w:cs="Arial"/>
          <w:sz w:val="20"/>
        </w:rPr>
      </w:pPr>
      <w:r>
        <w:rPr>
          <w:rFonts w:cs="Arial"/>
          <w:sz w:val="20"/>
        </w:rPr>
        <w:t>Project Management Professional (PMP), PMP ID #1243300</w:t>
      </w:r>
      <w:r>
        <w:rPr>
          <w:rFonts w:cs="Arial"/>
          <w:sz w:val="20"/>
        </w:rPr>
        <w:t xml:space="preserve">, PMI </w:t>
      </w:r>
      <w:r>
        <w:rPr>
          <w:rFonts w:cs="Arial"/>
          <w:sz w:val="20"/>
        </w:rPr>
        <w:t>Member ID # 1187668</w:t>
      </w:r>
    </w:p>
    <w:p>
      <w:pPr>
        <w:rPr>
          <w:rFonts w:cs="Helvetica"/>
          <w:sz w:val="20"/>
        </w:rPr>
      </w:pPr>
      <w:r>
        <w:rPr>
          <w:rFonts w:cs="Helvetica"/>
          <w:sz w:val="20"/>
        </w:rPr>
        <w:t>MCTS: Managing Projects with Microsoft Office Project 2007</w:t>
      </w:r>
    </w:p>
    <w:p>
      <w:pPr>
        <w:rPr>
          <w:rFonts w:cs="Helvetica"/>
          <w:sz w:val="20"/>
        </w:rPr>
      </w:pPr>
      <w:r>
        <w:rPr>
          <w:rFonts w:cs="Helvetica"/>
          <w:sz w:val="20"/>
        </w:rPr>
        <w:t>MCITP: Server Administrator (In Progress)</w:t>
      </w:r>
    </w:p>
    <w:p>
      <w:pPr>
        <w:rPr>
          <w:rFonts w:cs="Helvetica"/>
          <w:sz w:val="20"/>
        </w:rPr>
      </w:pPr>
      <w:r>
        <w:rPr>
          <w:rFonts w:cs="Helvetica"/>
          <w:sz w:val="20"/>
        </w:rPr>
        <w:t>Cisco Certified Network Associate, CCNA (In Progress)</w:t>
      </w:r>
    </w:p>
    <w:p>
      <w:pPr>
        <w:rPr>
          <w:sz w:val="20"/>
        </w:rPr>
      </w:pPr>
    </w:p>
    <w:p>
      <w:pPr>
        <w:rPr>
          <w:b/>
          <w:sz w:val="20"/>
        </w:rPr>
      </w:pPr>
      <w:r>
        <w:rPr>
          <w:b/>
          <w:sz w:val="20"/>
        </w:rPr>
        <w:t>Security Clearances</w:t>
      </w:r>
    </w:p>
    <w:p>
      <w:pPr>
        <w:rPr>
          <w:rFonts w:cs="Arial"/>
          <w:sz w:val="20"/>
        </w:rPr>
      </w:pPr>
      <w:r>
        <w:rPr>
          <w:rFonts w:cs="Arial"/>
          <w:sz w:val="20"/>
        </w:rPr>
        <w:t>Top Secret / Sensitive Compartmented Information (TS/SCI)</w:t>
      </w:r>
    </w:p>
    <w:p>
      <w:pPr>
        <w:rPr>
          <w:sz w:val="20"/>
        </w:rPr>
      </w:pPr>
      <w:r>
        <w:rPr>
          <w:rFonts w:cs="Arial"/>
          <w:sz w:val="20"/>
        </w:rPr>
        <w:t>NATO Secret (NS)</w:t>
      </w:r>
    </w:p>
    <w:p>
      <w:pPr>
        <w:rPr>
          <w:sz w:val="20"/>
        </w:rPr>
      </w:pPr>
    </w:p>
    <w:p>
      <w:pPr>
        <w:rPr>
          <w:b/>
          <w:sz w:val="20"/>
        </w:rPr>
      </w:pPr>
      <w:r>
        <w:rPr>
          <w:b/>
          <w:sz w:val="20"/>
        </w:rPr>
        <w:t>Languages</w:t>
      </w:r>
    </w:p>
    <w:p>
      <w:pPr>
        <w:rPr>
          <w:sz w:val="20"/>
        </w:rPr>
      </w:pPr>
      <w:r>
        <w:rPr>
          <w:rFonts w:cs="Arial"/>
          <w:sz w:val="20"/>
        </w:rPr>
        <w:t xml:space="preserve">English (Native), Spanish (9 years), Greek (5 years), French (3 years), and German (1 year) </w:t>
      </w:r>
    </w:p>
    <w:p>
      <w:pPr>
        <w:rPr>
          <w:sz w:val="20"/>
        </w:rPr>
      </w:pPr>
    </w:p>
    <w:p>
      <w:pPr>
        <w:jc w:val="both"/>
        <w:rPr>
          <w:b/>
          <w:sz w:val="20"/>
        </w:rPr>
      </w:pPr>
      <w:r>
        <w:rPr>
          <w:b/>
          <w:sz w:val="20"/>
        </w:rPr>
        <w:t>Summary of Experience</w:t>
      </w:r>
    </w:p>
    <w:p>
      <w:pPr>
        <w:jc w:val="both"/>
        <w:rPr>
          <w:sz w:val="20"/>
          <w:szCs w:val="22"/>
        </w:rPr>
      </w:pPr>
      <w:r>
        <w:rPr>
          <w:sz w:val="20"/>
          <w:szCs w:val="22"/>
        </w:rPr>
        <w:t>Director, PMO</w:t>
      </w:r>
    </w:p>
    <w:p>
      <w:pPr>
        <w:jc w:val="both"/>
        <w:rPr>
          <w:bCs/>
          <w:iCs/>
          <w:sz w:val="20"/>
          <w:szCs w:val="22"/>
        </w:rPr>
      </w:pPr>
      <w:r>
        <w:rPr>
          <w:bCs/>
          <w:iCs/>
          <w:sz w:val="20"/>
          <w:szCs w:val="22"/>
        </w:rPr>
        <w:t>EMW</w:t>
      </w:r>
      <w:r>
        <w:rPr>
          <w:bCs/>
          <w:iCs/>
          <w:sz w:val="20"/>
          <w:szCs w:val="22"/>
        </w:rPr>
        <w:t xml:space="preserve">, Inc., </w:t>
      </w:r>
      <w:r>
        <w:rPr>
          <w:bCs/>
          <w:iCs/>
          <w:sz w:val="20"/>
          <w:szCs w:val="22"/>
        </w:rPr>
        <w:t>August</w:t>
      </w:r>
      <w:r>
        <w:rPr>
          <w:bCs/>
          <w:iCs/>
          <w:sz w:val="20"/>
          <w:szCs w:val="22"/>
        </w:rPr>
        <w:t xml:space="preserve"> 200</w:t>
      </w:r>
      <w:r>
        <w:rPr>
          <w:bCs/>
          <w:iCs/>
          <w:sz w:val="20"/>
          <w:szCs w:val="22"/>
        </w:rPr>
        <w:t>9</w:t>
      </w:r>
      <w:r>
        <w:rPr>
          <w:bCs/>
          <w:iCs/>
          <w:sz w:val="20"/>
          <w:szCs w:val="22"/>
        </w:rPr>
        <w:t xml:space="preserve"> – </w:t>
      </w:r>
      <w:r>
        <w:rPr>
          <w:bCs/>
          <w:iCs/>
          <w:sz w:val="20"/>
          <w:szCs w:val="22"/>
        </w:rPr>
        <w:t>Present</w:t>
      </w:r>
    </w:p>
    <w:p>
      <w:pPr>
        <w:numPr>
          <w:ilvl w:val="0"/>
          <w:numId w:val="5"/>
        </w:numPr>
        <w:tabs>
          <w:tab w:val="clear" w:pos="720"/>
          <w:tab w:val="num" w:pos="0"/>
        </w:tabs>
        <w:ind w:left="360"/>
        <w:jc w:val="both"/>
        <w:rPr>
          <w:sz w:val="20"/>
        </w:rPr>
      </w:pPr>
      <w:r>
        <w:rPr>
          <w:sz w:val="20"/>
        </w:rPr>
        <w:t>Director of the Project Management Office (PMO)</w:t>
      </w:r>
      <w:r>
        <w:rPr>
          <w:sz w:val="20"/>
        </w:rPr>
        <w:t xml:space="preserve"> with a team of 45 project managers, engineers, and technicians</w:t>
      </w:r>
    </w:p>
    <w:p>
      <w:pPr>
        <w:numPr>
          <w:ilvl w:val="0"/>
          <w:numId w:val="5"/>
        </w:numPr>
        <w:tabs>
          <w:tab w:val="clear" w:pos="720"/>
          <w:tab w:val="num" w:pos="0"/>
        </w:tabs>
        <w:ind w:left="360"/>
        <w:jc w:val="both"/>
        <w:rPr>
          <w:sz w:val="20"/>
        </w:rPr>
      </w:pPr>
      <w:r>
        <w:rPr>
          <w:sz w:val="20"/>
        </w:rPr>
        <w:t>Managing the Afghanistan Communications and Management Information Systems Program for the NATO C3 Agency</w:t>
      </w:r>
      <w:r>
        <w:rPr>
          <w:sz w:val="20"/>
        </w:rPr>
        <w:t xml:space="preserve"> (NC3A)</w:t>
      </w:r>
    </w:p>
    <w:p>
      <w:pPr>
        <w:numPr>
          <w:ilvl w:val="0"/>
          <w:numId w:val="5"/>
        </w:numPr>
        <w:tabs>
          <w:tab w:val="clear" w:pos="720"/>
          <w:tab w:val="num" w:pos="0"/>
        </w:tabs>
        <w:ind w:left="360"/>
        <w:jc w:val="both"/>
        <w:rPr>
          <w:sz w:val="20"/>
        </w:rPr>
      </w:pPr>
      <w:r>
        <w:rPr>
          <w:sz w:val="20"/>
        </w:rPr>
        <w:t>Operating $7.5M of integrated systems engineering projects, including enterprise systems, network, and database migration activities, tactical building IT infrastructure and cabling, and onsite operations and maintenance support for NATO forces</w:t>
      </w:r>
    </w:p>
    <w:p>
      <w:pPr>
        <w:numPr>
          <w:ilvl w:val="0"/>
          <w:numId w:val="5"/>
        </w:numPr>
        <w:tabs>
          <w:tab w:val="clear" w:pos="720"/>
          <w:tab w:val="num" w:pos="0"/>
        </w:tabs>
        <w:ind w:left="360"/>
        <w:jc w:val="both"/>
        <w:rPr>
          <w:sz w:val="20"/>
        </w:rPr>
      </w:pPr>
      <w:r>
        <w:rPr>
          <w:sz w:val="20"/>
        </w:rPr>
        <w:t>Proficient in the NATO contracting lifecycle in support of NC3A, specifically the targeted initiatives for combative zones in Afghanistan and Iraq</w:t>
      </w:r>
    </w:p>
    <w:p>
      <w:pPr>
        <w:jc w:val="both"/>
        <w:rPr>
          <w:sz w:val="20"/>
          <w:szCs w:val="22"/>
        </w:rPr>
      </w:pPr>
    </w:p>
    <w:p>
      <w:pPr>
        <w:jc w:val="both"/>
        <w:rPr>
          <w:sz w:val="20"/>
          <w:szCs w:val="22"/>
        </w:rPr>
      </w:pPr>
      <w:r>
        <w:rPr>
          <w:sz w:val="20"/>
          <w:szCs w:val="22"/>
        </w:rPr>
        <w:t>Senior Project Manager</w:t>
      </w:r>
    </w:p>
    <w:p>
      <w:pPr>
        <w:jc w:val="both"/>
        <w:rPr>
          <w:bCs/>
          <w:iCs/>
          <w:sz w:val="20"/>
          <w:szCs w:val="22"/>
        </w:rPr>
      </w:pPr>
      <w:r>
        <w:rPr>
          <w:bCs/>
          <w:iCs/>
          <w:sz w:val="20"/>
          <w:szCs w:val="22"/>
        </w:rPr>
        <w:t>M.C. Dean, Inc., July 2008 – August 2009</w:t>
      </w:r>
    </w:p>
    <w:p>
      <w:pPr>
        <w:numPr>
          <w:ilvl w:val="0"/>
          <w:numId w:val="5"/>
        </w:numPr>
        <w:tabs>
          <w:tab w:val="clear" w:pos="720"/>
          <w:tab w:val="num" w:pos="0"/>
        </w:tabs>
        <w:ind w:left="360"/>
        <w:jc w:val="both"/>
        <w:rPr>
          <w:sz w:val="20"/>
        </w:rPr>
      </w:pPr>
      <w:r>
        <w:rPr>
          <w:sz w:val="20"/>
        </w:rPr>
        <w:t xml:space="preserve">Managed the Africa Satellite Communications and Infrastructure </w:t>
      </w:r>
      <w:r>
        <w:rPr>
          <w:sz w:val="20"/>
        </w:rPr>
        <w:t>Program team of 60 engineers and technicians for SPAWAR Atlantic</w:t>
      </w:r>
    </w:p>
    <w:p>
      <w:pPr>
        <w:numPr>
          <w:ilvl w:val="0"/>
          <w:numId w:val="5"/>
        </w:numPr>
        <w:tabs>
          <w:tab w:val="clear" w:pos="720"/>
          <w:tab w:val="num" w:pos="0"/>
        </w:tabs>
        <w:ind w:left="360"/>
        <w:jc w:val="both"/>
        <w:rPr>
          <w:sz w:val="20"/>
        </w:rPr>
      </w:pPr>
      <w:r>
        <w:rPr>
          <w:sz w:val="20"/>
        </w:rPr>
        <w:t>Expanded the Satellite Communications and Infrastructure project portfolio in Africa from $3M to $8M in the first half of FY09, with additional FFP pipeline pursuits in excess of $30M</w:t>
      </w:r>
    </w:p>
    <w:p>
      <w:pPr>
        <w:numPr>
          <w:ilvl w:val="0"/>
          <w:numId w:val="5"/>
        </w:numPr>
        <w:tabs>
          <w:tab w:val="clear" w:pos="720"/>
          <w:tab w:val="num" w:pos="0"/>
        </w:tabs>
        <w:ind w:left="360"/>
        <w:jc w:val="both"/>
        <w:rPr>
          <w:sz w:val="20"/>
        </w:rPr>
      </w:pPr>
      <w:r>
        <w:rPr>
          <w:sz w:val="20"/>
        </w:rPr>
        <w:t>Proficient in the SPAWAR Atlantic contracting lifecycle in support of AFRICOM and EUCOM, specifically the targeted initiatives in OEF-TS and ECOWAS partner nations</w:t>
      </w:r>
    </w:p>
    <w:p>
      <w:pPr>
        <w:numPr>
          <w:ilvl w:val="0"/>
          <w:numId w:val="5"/>
        </w:numPr>
        <w:tabs>
          <w:tab w:val="clear" w:pos="720"/>
          <w:tab w:val="num" w:pos="0"/>
        </w:tabs>
        <w:ind w:left="360"/>
        <w:jc w:val="both"/>
        <w:rPr>
          <w:sz w:val="20"/>
        </w:rPr>
      </w:pPr>
      <w:r>
        <w:rPr>
          <w:sz w:val="20"/>
        </w:rPr>
        <w:t>Established the infrastructure for fast action support, small form factor, c-band deployable satellite terminals (DST) for AFRICOM initiatives in OEF-TS and ECOWAS partner nations</w:t>
      </w:r>
    </w:p>
    <w:p>
      <w:pPr>
        <w:numPr>
          <w:ilvl w:val="0"/>
          <w:numId w:val="5"/>
        </w:numPr>
        <w:tabs>
          <w:tab w:val="clear" w:pos="720"/>
          <w:tab w:val="num" w:pos="0"/>
        </w:tabs>
        <w:ind w:left="360"/>
        <w:jc w:val="both"/>
        <w:rPr>
          <w:sz w:val="20"/>
        </w:rPr>
      </w:pPr>
      <w:r>
        <w:rPr>
          <w:sz w:val="20"/>
        </w:rPr>
        <w:t>Maintained a network of full-time In-Country Consultants (ICC) across 14 OEF-TS and ECOWAS partner nations</w:t>
      </w:r>
    </w:p>
    <w:p>
      <w:pPr>
        <w:numPr>
          <w:ilvl w:val="0"/>
          <w:numId w:val="5"/>
        </w:numPr>
        <w:tabs>
          <w:tab w:val="clear" w:pos="720"/>
          <w:tab w:val="num" w:pos="0"/>
        </w:tabs>
        <w:ind w:left="360"/>
        <w:jc w:val="both"/>
        <w:rPr>
          <w:sz w:val="20"/>
        </w:rPr>
      </w:pPr>
      <w:r>
        <w:rPr>
          <w:sz w:val="20"/>
        </w:rPr>
        <w:t>Supported AFRICOM CNT with the development of communications capabilities and infrastructure in the Republic of Cape Verde, including maritime upgrades for the Cape Verde Coast Guard and the construction of an Integrated Fusion Center (IFC)</w:t>
      </w:r>
    </w:p>
    <w:p>
      <w:pPr>
        <w:numPr>
          <w:ilvl w:val="0"/>
          <w:numId w:val="5"/>
        </w:numPr>
        <w:tabs>
          <w:tab w:val="clear" w:pos="720"/>
          <w:tab w:val="num" w:pos="0"/>
        </w:tabs>
        <w:ind w:left="360"/>
        <w:jc w:val="both"/>
        <w:rPr>
          <w:sz w:val="20"/>
        </w:rPr>
      </w:pPr>
      <w:r>
        <w:rPr>
          <w:sz w:val="20"/>
        </w:rPr>
        <w:t>Directed the Multinational Information Sharing Initiative (MISI) and the ECOWAS Regional Exchange Information System (ERIES)</w:t>
      </w:r>
      <w:r>
        <w:rPr>
          <w:sz w:val="20"/>
        </w:rPr>
        <w:t xml:space="preserve"> programs</w:t>
      </w:r>
    </w:p>
    <w:p>
      <w:pPr>
        <w:numPr>
          <w:ilvl w:val="0"/>
          <w:numId w:val="5"/>
        </w:numPr>
        <w:tabs>
          <w:tab w:val="clear" w:pos="720"/>
          <w:tab w:val="num" w:pos="0"/>
        </w:tabs>
        <w:ind w:left="360"/>
        <w:jc w:val="both"/>
        <w:rPr>
          <w:sz w:val="20"/>
        </w:rPr>
      </w:pPr>
      <w:r>
        <w:rPr>
          <w:sz w:val="20"/>
        </w:rPr>
        <w:t>Managed</w:t>
      </w:r>
      <w:r>
        <w:rPr>
          <w:sz w:val="20"/>
        </w:rPr>
        <w:t xml:space="preserve"> </w:t>
      </w:r>
      <w:r>
        <w:rPr>
          <w:sz w:val="20"/>
        </w:rPr>
        <w:t xml:space="preserve">IT </w:t>
      </w:r>
      <w:r>
        <w:rPr>
          <w:sz w:val="20"/>
        </w:rPr>
        <w:t>programs through the SPAWAR Network Operations Center (NOC) at the Stuttgart Army Airfield (SAAF)</w:t>
      </w:r>
    </w:p>
    <w:p>
      <w:pPr>
        <w:jc w:val="both"/>
        <w:rPr>
          <w:b/>
          <w:color w:val="0000FF"/>
          <w:sz w:val="20"/>
        </w:rPr>
      </w:pPr>
      <w:r>
        <w:rPr>
          <w:b/>
          <w:color w:val="0000FF"/>
          <w:sz w:val="20"/>
        </w:rPr>
        <w:t xml:space="preserve"> </w:t>
      </w:r>
    </w:p>
    <w:p>
      <w:pPr>
        <w:jc w:val="both"/>
        <w:rPr>
          <w:sz w:val="20"/>
          <w:szCs w:val="22"/>
        </w:rPr>
      </w:pPr>
      <w:r>
        <w:rPr>
          <w:sz w:val="20"/>
          <w:szCs w:val="22"/>
        </w:rPr>
        <w:t>Systems Engineer</w:t>
      </w:r>
    </w:p>
    <w:p>
      <w:pPr>
        <w:jc w:val="both"/>
        <w:rPr>
          <w:bCs/>
          <w:iCs/>
          <w:sz w:val="20"/>
          <w:szCs w:val="22"/>
        </w:rPr>
      </w:pPr>
      <w:r>
        <w:rPr>
          <w:bCs/>
          <w:iCs/>
          <w:sz w:val="20"/>
          <w:szCs w:val="22"/>
        </w:rPr>
        <w:t>Giotto Technologies, Inc., May 2007 – July 2008</w:t>
      </w:r>
    </w:p>
    <w:p>
      <w:pPr>
        <w:numPr>
          <w:ilvl w:val="0"/>
          <w:numId w:val="5"/>
        </w:numPr>
        <w:tabs>
          <w:tab w:val="clear" w:pos="720"/>
          <w:tab w:val="num" w:pos="0"/>
        </w:tabs>
        <w:ind w:left="360"/>
        <w:jc w:val="both"/>
        <w:rPr>
          <w:sz w:val="20"/>
        </w:rPr>
      </w:pPr>
      <w:r>
        <w:rPr>
          <w:sz w:val="20"/>
        </w:rPr>
        <w:t xml:space="preserve">Managed </w:t>
      </w:r>
      <w:r>
        <w:rPr>
          <w:sz w:val="20"/>
        </w:rPr>
        <w:t>the NAVSEA R&amp;D Program team of 12 scientists, engineers, and technicians</w:t>
      </w:r>
    </w:p>
    <w:p>
      <w:pPr>
        <w:numPr>
          <w:ilvl w:val="0"/>
          <w:numId w:val="5"/>
        </w:numPr>
        <w:tabs>
          <w:tab w:val="clear" w:pos="720"/>
          <w:tab w:val="num" w:pos="0"/>
        </w:tabs>
        <w:ind w:left="360"/>
        <w:jc w:val="both"/>
        <w:rPr>
          <w:sz w:val="20"/>
        </w:rPr>
      </w:pPr>
      <w:r>
        <w:rPr>
          <w:sz w:val="20"/>
        </w:rPr>
        <w:t>Refined IT architecture for a phase two prototype of a remote and embedded real-time diagnostics system</w:t>
      </w:r>
    </w:p>
    <w:p>
      <w:pPr>
        <w:numPr>
          <w:ilvl w:val="0"/>
          <w:numId w:val="5"/>
        </w:numPr>
        <w:tabs>
          <w:tab w:val="clear" w:pos="720"/>
          <w:tab w:val="num" w:pos="0"/>
        </w:tabs>
        <w:ind w:left="360"/>
        <w:jc w:val="both"/>
        <w:rPr>
          <w:sz w:val="20"/>
        </w:rPr>
      </w:pPr>
      <w:r>
        <w:rPr>
          <w:sz w:val="20"/>
        </w:rPr>
        <w:t>Realigned software design constraints with updated systems engineering models</w:t>
      </w:r>
    </w:p>
    <w:p>
      <w:pPr>
        <w:numPr>
          <w:ilvl w:val="0"/>
          <w:numId w:val="5"/>
        </w:numPr>
        <w:tabs>
          <w:tab w:val="clear" w:pos="720"/>
          <w:tab w:val="num" w:pos="0"/>
        </w:tabs>
        <w:ind w:left="360"/>
        <w:jc w:val="both"/>
        <w:rPr>
          <w:sz w:val="20"/>
        </w:rPr>
      </w:pPr>
      <w:r>
        <w:rPr>
          <w:sz w:val="20"/>
        </w:rPr>
        <w:t>Coordinated real-time analytics requirements for database management systems</w:t>
      </w:r>
    </w:p>
    <w:p>
      <w:pPr>
        <w:numPr>
          <w:ilvl w:val="0"/>
          <w:numId w:val="5"/>
        </w:numPr>
        <w:tabs>
          <w:tab w:val="clear" w:pos="720"/>
          <w:tab w:val="num" w:pos="0"/>
        </w:tabs>
        <w:ind w:left="360"/>
        <w:jc w:val="both"/>
        <w:rPr>
          <w:sz w:val="20"/>
        </w:rPr>
      </w:pPr>
      <w:r>
        <w:rPr>
          <w:sz w:val="20"/>
        </w:rPr>
        <w:t>Integrated a first generation “hybrid reasoner” that utilizes a rules-based engine in conjunction with an artificial neural network into current systems architecture</w:t>
      </w:r>
    </w:p>
    <w:p>
      <w:pPr>
        <w:jc w:val="both"/>
        <w:rPr>
          <w:sz w:val="20"/>
          <w:szCs w:val="22"/>
        </w:rPr>
      </w:pPr>
    </w:p>
    <w:p>
      <w:pPr>
        <w:jc w:val="both"/>
        <w:rPr>
          <w:sz w:val="20"/>
          <w:szCs w:val="22"/>
        </w:rPr>
      </w:pPr>
      <w:r>
        <w:rPr>
          <w:sz w:val="20"/>
          <w:szCs w:val="22"/>
        </w:rPr>
        <w:t>Senior IT Consultant</w:t>
      </w:r>
    </w:p>
    <w:p>
      <w:pPr>
        <w:jc w:val="both"/>
        <w:rPr>
          <w:bCs/>
          <w:iCs/>
          <w:sz w:val="20"/>
          <w:szCs w:val="22"/>
        </w:rPr>
      </w:pPr>
      <w:r>
        <w:rPr>
          <w:bCs/>
          <w:iCs/>
          <w:sz w:val="20"/>
          <w:szCs w:val="22"/>
        </w:rPr>
        <w:t>Bank of America, November 2006 – May 2007</w:t>
      </w:r>
    </w:p>
    <w:p>
      <w:pPr>
        <w:numPr>
          <w:ilvl w:val="0"/>
          <w:numId w:val="6"/>
        </w:numPr>
        <w:tabs>
          <w:tab w:val="clear" w:pos="720"/>
          <w:tab w:val="num" w:pos="0"/>
        </w:tabs>
        <w:ind w:left="360"/>
        <w:jc w:val="both"/>
        <w:rPr>
          <w:sz w:val="20"/>
        </w:rPr>
      </w:pPr>
      <w:r>
        <w:rPr>
          <w:sz w:val="20"/>
        </w:rPr>
        <w:t>Managed the</w:t>
      </w:r>
      <w:r>
        <w:rPr>
          <w:sz w:val="20"/>
        </w:rPr>
        <w:t xml:space="preserve"> systems integration and architect</w:t>
      </w:r>
      <w:r>
        <w:rPr>
          <w:sz w:val="20"/>
        </w:rPr>
        <w:t>ure</w:t>
      </w:r>
      <w:r>
        <w:rPr>
          <w:sz w:val="20"/>
        </w:rPr>
        <w:t xml:space="preserve"> </w:t>
      </w:r>
      <w:r>
        <w:rPr>
          <w:sz w:val="20"/>
        </w:rPr>
        <w:t xml:space="preserve">team of 30 engineers and technicians </w:t>
      </w:r>
      <w:r>
        <w:rPr>
          <w:sz w:val="20"/>
        </w:rPr>
        <w:t>for the Global Treasury Services (</w:t>
      </w:r>
      <w:r>
        <w:rPr>
          <w:sz w:val="20"/>
        </w:rPr>
        <w:t>GTS) Universal Bank initiative</w:t>
      </w:r>
    </w:p>
    <w:p>
      <w:pPr>
        <w:numPr>
          <w:ilvl w:val="0"/>
          <w:numId w:val="6"/>
        </w:numPr>
        <w:tabs>
          <w:tab w:val="clear" w:pos="720"/>
          <w:tab w:val="num" w:pos="0"/>
        </w:tabs>
        <w:ind w:left="360"/>
        <w:jc w:val="both"/>
        <w:rPr>
          <w:sz w:val="20"/>
        </w:rPr>
      </w:pPr>
      <w:r>
        <w:rPr>
          <w:sz w:val="20"/>
        </w:rPr>
        <w:t>C</w:t>
      </w:r>
      <w:r>
        <w:rPr>
          <w:sz w:val="20"/>
        </w:rPr>
        <w:t>onsolidat</w:t>
      </w:r>
      <w:r>
        <w:rPr>
          <w:sz w:val="20"/>
        </w:rPr>
        <w:t>ed</w:t>
      </w:r>
      <w:r>
        <w:rPr>
          <w:sz w:val="20"/>
        </w:rPr>
        <w:t xml:space="preserve"> </w:t>
      </w:r>
      <w:r>
        <w:rPr>
          <w:sz w:val="20"/>
        </w:rPr>
        <w:t xml:space="preserve">disparate </w:t>
      </w:r>
      <w:r>
        <w:rPr>
          <w:sz w:val="20"/>
        </w:rPr>
        <w:t>Client Relationship Manag</w:t>
      </w:r>
      <w:r>
        <w:rPr>
          <w:sz w:val="20"/>
        </w:rPr>
        <w:t>ement (CRM) systems and created global data efficiencies by managing the development of complex data models and implementing database migrations across multiple lines of business</w:t>
      </w:r>
    </w:p>
    <w:p>
      <w:pPr>
        <w:numPr>
          <w:ilvl w:val="0"/>
          <w:numId w:val="6"/>
        </w:numPr>
        <w:tabs>
          <w:tab w:val="clear" w:pos="720"/>
          <w:tab w:val="num" w:pos="0"/>
        </w:tabs>
        <w:ind w:left="360"/>
        <w:jc w:val="both"/>
        <w:rPr>
          <w:sz w:val="20"/>
        </w:rPr>
      </w:pPr>
      <w:r>
        <w:rPr>
          <w:sz w:val="20"/>
        </w:rPr>
        <w:t>Developed the CRM systems architecture around an already existing Oracle Siebel platform, reducing costs and accelerating the delivery timeline</w:t>
      </w:r>
    </w:p>
    <w:p>
      <w:pPr>
        <w:numPr>
          <w:ilvl w:val="0"/>
          <w:numId w:val="6"/>
        </w:numPr>
        <w:tabs>
          <w:tab w:val="clear" w:pos="720"/>
          <w:tab w:val="num" w:pos="0"/>
        </w:tabs>
        <w:ind w:left="360"/>
        <w:jc w:val="both"/>
        <w:rPr>
          <w:sz w:val="20"/>
        </w:rPr>
      </w:pPr>
      <w:r>
        <w:rPr>
          <w:sz w:val="20"/>
        </w:rPr>
        <w:t>Created extensive data maps and business process models using UML for the entire suite of CRM lifecycle applications within GTS</w:t>
      </w:r>
    </w:p>
    <w:p>
      <w:pPr>
        <w:jc w:val="both"/>
        <w:rPr>
          <w:bCs/>
          <w:sz w:val="20"/>
          <w:szCs w:val="22"/>
        </w:rPr>
      </w:pPr>
    </w:p>
    <w:p>
      <w:pPr>
        <w:jc w:val="both"/>
        <w:rPr>
          <w:sz w:val="20"/>
          <w:szCs w:val="22"/>
        </w:rPr>
      </w:pPr>
      <w:r>
        <w:rPr>
          <w:sz w:val="20"/>
          <w:szCs w:val="22"/>
        </w:rPr>
        <w:t>Senior</w:t>
      </w:r>
      <w:r>
        <w:rPr>
          <w:sz w:val="20"/>
          <w:szCs w:val="22"/>
        </w:rPr>
        <w:t xml:space="preserve"> Service Delivery Manager</w:t>
      </w:r>
    </w:p>
    <w:p>
      <w:pPr>
        <w:jc w:val="both"/>
        <w:rPr>
          <w:bCs/>
          <w:iCs/>
          <w:sz w:val="20"/>
          <w:szCs w:val="22"/>
        </w:rPr>
      </w:pPr>
      <w:r>
        <w:rPr>
          <w:bCs/>
          <w:iCs/>
          <w:sz w:val="20"/>
          <w:szCs w:val="22"/>
        </w:rPr>
        <w:t>Bank of America, April 2006 – November 2006</w:t>
      </w:r>
    </w:p>
    <w:p>
      <w:pPr>
        <w:numPr>
          <w:ilvl w:val="0"/>
          <w:numId w:val="7"/>
        </w:numPr>
        <w:tabs>
          <w:tab w:val="clear" w:pos="720"/>
          <w:tab w:val="num" w:pos="0"/>
        </w:tabs>
        <w:ind w:left="360"/>
        <w:jc w:val="both"/>
        <w:rPr>
          <w:sz w:val="20"/>
        </w:rPr>
      </w:pPr>
      <w:r>
        <w:rPr>
          <w:sz w:val="20"/>
        </w:rPr>
        <w:t>Director of the PMO for the Corporate Investments Technology team of 250 developers and engineers</w:t>
      </w:r>
    </w:p>
    <w:p>
      <w:pPr>
        <w:numPr>
          <w:ilvl w:val="0"/>
          <w:numId w:val="7"/>
        </w:numPr>
        <w:tabs>
          <w:tab w:val="clear" w:pos="720"/>
          <w:tab w:val="num" w:pos="0"/>
        </w:tabs>
        <w:ind w:left="360"/>
        <w:jc w:val="both"/>
        <w:rPr>
          <w:sz w:val="20"/>
        </w:rPr>
      </w:pPr>
      <w:r>
        <w:rPr>
          <w:sz w:val="20"/>
        </w:rPr>
        <w:t>Developed the PMO architecture around existing SDLC processes</w:t>
      </w:r>
    </w:p>
    <w:p>
      <w:pPr>
        <w:numPr>
          <w:ilvl w:val="0"/>
          <w:numId w:val="7"/>
        </w:numPr>
        <w:tabs>
          <w:tab w:val="clear" w:pos="720"/>
          <w:tab w:val="num" w:pos="0"/>
        </w:tabs>
        <w:ind w:left="360"/>
        <w:jc w:val="both"/>
        <w:rPr>
          <w:sz w:val="20"/>
        </w:rPr>
      </w:pPr>
      <w:r>
        <w:rPr>
          <w:sz w:val="20"/>
        </w:rPr>
        <w:t xml:space="preserve">Operated as a </w:t>
      </w:r>
      <w:r>
        <w:rPr>
          <w:sz w:val="20"/>
        </w:rPr>
        <w:t>business liaison for front and middle office technical initiatives in the Corporate Investments Group (CIG)</w:t>
      </w:r>
    </w:p>
    <w:p>
      <w:pPr>
        <w:numPr>
          <w:ilvl w:val="0"/>
          <w:numId w:val="7"/>
        </w:numPr>
        <w:tabs>
          <w:tab w:val="clear" w:pos="720"/>
          <w:tab w:val="num" w:pos="0"/>
        </w:tabs>
        <w:ind w:left="360"/>
        <w:jc w:val="both"/>
        <w:rPr>
          <w:sz w:val="20"/>
        </w:rPr>
      </w:pPr>
      <w:r>
        <w:rPr>
          <w:sz w:val="20"/>
        </w:rPr>
        <w:t>Created the 2007 Corporate Investments Technology Strategy and Initiative Budget ($15.1m)</w:t>
      </w:r>
    </w:p>
    <w:p>
      <w:pPr>
        <w:numPr>
          <w:ilvl w:val="0"/>
          <w:numId w:val="7"/>
        </w:numPr>
        <w:tabs>
          <w:tab w:val="clear" w:pos="720"/>
          <w:tab w:val="num" w:pos="0"/>
        </w:tabs>
        <w:ind w:left="360"/>
        <w:jc w:val="both"/>
        <w:rPr>
          <w:sz w:val="20"/>
        </w:rPr>
      </w:pPr>
      <w:r>
        <w:rPr>
          <w:sz w:val="20"/>
        </w:rPr>
        <w:t>Created and updated extensive business process models for trade execution, front to middle office, which included mapping of CIG software applications to their respective business processes and sub-processes</w:t>
      </w:r>
    </w:p>
    <w:p>
      <w:pPr>
        <w:numPr>
          <w:ilvl w:val="0"/>
          <w:numId w:val="7"/>
        </w:numPr>
        <w:tabs>
          <w:tab w:val="clear" w:pos="720"/>
          <w:tab w:val="num" w:pos="0"/>
        </w:tabs>
        <w:ind w:left="360"/>
        <w:jc w:val="both"/>
        <w:rPr>
          <w:sz w:val="20"/>
        </w:rPr>
      </w:pPr>
      <w:r>
        <w:rPr>
          <w:sz w:val="20"/>
        </w:rPr>
        <w:t>Completed Bank of America sponsored proprietary training modules and initiative pilots in project management (waterfall, agile, and CMMI), six sigma (DFSS and Lean), team management, data management, and systems modeling (UML)</w:t>
      </w:r>
    </w:p>
    <w:p>
      <w:pPr>
        <w:jc w:val="both"/>
        <w:rPr>
          <w:sz w:val="20"/>
          <w:szCs w:val="22"/>
        </w:rPr>
      </w:pPr>
    </w:p>
    <w:p>
      <w:pPr>
        <w:jc w:val="both"/>
        <w:rPr>
          <w:sz w:val="20"/>
          <w:szCs w:val="22"/>
        </w:rPr>
      </w:pPr>
      <w:r>
        <w:rPr>
          <w:sz w:val="20"/>
          <w:szCs w:val="22"/>
        </w:rPr>
        <w:t>Project Manager</w:t>
      </w:r>
    </w:p>
    <w:p>
      <w:pPr>
        <w:jc w:val="both"/>
        <w:rPr>
          <w:bCs/>
          <w:iCs/>
          <w:sz w:val="20"/>
          <w:szCs w:val="22"/>
        </w:rPr>
      </w:pPr>
      <w:r>
        <w:rPr>
          <w:bCs/>
          <w:iCs/>
          <w:sz w:val="20"/>
          <w:szCs w:val="22"/>
        </w:rPr>
        <w:t>Giotto Technologies, Inc., August 2002 – April 2006</w:t>
      </w:r>
    </w:p>
    <w:p>
      <w:pPr>
        <w:numPr>
          <w:ilvl w:val="0"/>
          <w:numId w:val="8"/>
        </w:numPr>
        <w:tabs>
          <w:tab w:val="clear" w:pos="720"/>
          <w:tab w:val="num" w:pos="0"/>
        </w:tabs>
        <w:ind w:left="360"/>
        <w:jc w:val="both"/>
        <w:rPr>
          <w:sz w:val="20"/>
        </w:rPr>
      </w:pPr>
      <w:r>
        <w:rPr>
          <w:sz w:val="20"/>
        </w:rPr>
        <w:t>Project manager with respect to cost</w:t>
      </w:r>
      <w:r>
        <w:rPr>
          <w:sz w:val="20"/>
        </w:rPr>
        <w:t>s</w:t>
      </w:r>
      <w:r>
        <w:rPr>
          <w:sz w:val="20"/>
        </w:rPr>
        <w:t xml:space="preserve">, delivery schedules, and scope </w:t>
      </w:r>
      <w:r>
        <w:rPr>
          <w:sz w:val="20"/>
        </w:rPr>
        <w:t>for a team of 12 scientists, engineers, and technicians</w:t>
      </w:r>
    </w:p>
    <w:p>
      <w:pPr>
        <w:numPr>
          <w:ilvl w:val="0"/>
          <w:numId w:val="8"/>
        </w:numPr>
        <w:tabs>
          <w:tab w:val="clear" w:pos="720"/>
          <w:tab w:val="num" w:pos="0"/>
        </w:tabs>
        <w:ind w:left="360"/>
        <w:jc w:val="both"/>
        <w:rPr>
          <w:sz w:val="20"/>
        </w:rPr>
      </w:pPr>
      <w:r>
        <w:rPr>
          <w:sz w:val="20"/>
        </w:rPr>
        <w:t>Directed IT architecture, systems integration, and development efforts around an Integrated Health and Usage Monitoring System (IHUMS) for offshore equipment diagnostics of military and civilian vessels</w:t>
      </w:r>
    </w:p>
    <w:p>
      <w:pPr>
        <w:numPr>
          <w:ilvl w:val="0"/>
          <w:numId w:val="8"/>
        </w:numPr>
        <w:tabs>
          <w:tab w:val="clear" w:pos="720"/>
          <w:tab w:val="num" w:pos="0"/>
        </w:tabs>
        <w:ind w:left="360"/>
        <w:jc w:val="both"/>
        <w:rPr>
          <w:sz w:val="20"/>
        </w:rPr>
      </w:pPr>
      <w:r>
        <w:rPr>
          <w:sz w:val="20"/>
        </w:rPr>
        <w:t xml:space="preserve">Organized alternative energy research efforts for a panel of companies and investors, specifically around the commercial use of Superconducting Magnetic Energy Storage (SMES) to reduce power transportation costs industry-wide </w:t>
      </w:r>
    </w:p>
    <w:p>
      <w:pPr>
        <w:jc w:val="both"/>
        <w:rPr>
          <w:b/>
          <w:sz w:val="20"/>
          <w:szCs w:val="22"/>
        </w:rPr>
      </w:pPr>
    </w:p>
    <w:p>
      <w:pPr>
        <w:jc w:val="both"/>
        <w:rPr>
          <w:sz w:val="20"/>
          <w:szCs w:val="22"/>
        </w:rPr>
      </w:pPr>
      <w:r>
        <w:rPr>
          <w:sz w:val="20"/>
          <w:szCs w:val="22"/>
        </w:rPr>
        <w:t>Systems Analyst</w:t>
      </w:r>
    </w:p>
    <w:p>
      <w:pPr>
        <w:jc w:val="both"/>
        <w:rPr>
          <w:bCs/>
          <w:iCs/>
          <w:sz w:val="20"/>
          <w:szCs w:val="22"/>
        </w:rPr>
      </w:pPr>
      <w:r>
        <w:rPr>
          <w:bCs/>
          <w:iCs/>
          <w:sz w:val="20"/>
          <w:szCs w:val="22"/>
        </w:rPr>
        <w:t>Raytheon Company, 2000 – 2001</w:t>
      </w:r>
    </w:p>
    <w:p>
      <w:pPr>
        <w:numPr>
          <w:ilvl w:val="0"/>
          <w:numId w:val="9"/>
        </w:numPr>
        <w:tabs>
          <w:tab w:val="clear" w:pos="720"/>
          <w:tab w:val="num" w:pos="0"/>
        </w:tabs>
        <w:ind w:left="360"/>
        <w:jc w:val="both"/>
        <w:rPr>
          <w:sz w:val="20"/>
        </w:rPr>
      </w:pPr>
      <w:r>
        <w:rPr>
          <w:sz w:val="20"/>
        </w:rPr>
        <w:t>Assisted in integrating missile guidance terminals into an updated combat system infrastructure</w:t>
      </w:r>
    </w:p>
    <w:p>
      <w:pPr>
        <w:numPr>
          <w:ilvl w:val="0"/>
          <w:numId w:val="9"/>
        </w:numPr>
        <w:tabs>
          <w:tab w:val="clear" w:pos="720"/>
          <w:tab w:val="num" w:pos="0"/>
        </w:tabs>
        <w:ind w:left="360"/>
        <w:jc w:val="both"/>
        <w:rPr>
          <w:sz w:val="20"/>
        </w:rPr>
      </w:pPr>
      <w:r>
        <w:rPr>
          <w:sz w:val="20"/>
        </w:rPr>
        <w:t>Reviewed system requirements and conducted end-to-end total quality control testing</w:t>
      </w:r>
    </w:p>
    <w:p>
      <w:pPr>
        <w:jc w:val="both"/>
        <w:rPr>
          <w:b/>
          <w:sz w:val="20"/>
          <w:szCs w:val="22"/>
        </w:rPr>
      </w:pPr>
    </w:p>
    <w:p>
      <w:pPr>
        <w:jc w:val="both"/>
        <w:rPr>
          <w:sz w:val="20"/>
          <w:szCs w:val="22"/>
        </w:rPr>
      </w:pPr>
      <w:r>
        <w:rPr>
          <w:sz w:val="20"/>
          <w:szCs w:val="22"/>
        </w:rPr>
        <w:t>Research Fellow</w:t>
      </w:r>
    </w:p>
    <w:p>
      <w:pPr>
        <w:jc w:val="both"/>
        <w:rPr>
          <w:bCs/>
          <w:iCs/>
          <w:sz w:val="20"/>
          <w:szCs w:val="22"/>
        </w:rPr>
      </w:pPr>
      <w:r>
        <w:rPr>
          <w:bCs/>
          <w:iCs/>
          <w:sz w:val="20"/>
          <w:szCs w:val="22"/>
        </w:rPr>
        <w:t>Lombardi Cancer Clinic, 1999 – 2000</w:t>
      </w:r>
    </w:p>
    <w:p>
      <w:pPr>
        <w:numPr>
          <w:ilvl w:val="0"/>
          <w:numId w:val="10"/>
        </w:numPr>
        <w:tabs>
          <w:tab w:val="clear" w:pos="720"/>
          <w:tab w:val="num" w:pos="0"/>
        </w:tabs>
        <w:ind w:left="360"/>
        <w:jc w:val="both"/>
        <w:rPr>
          <w:sz w:val="20"/>
        </w:rPr>
      </w:pPr>
      <w:r>
        <w:rPr>
          <w:sz w:val="20"/>
        </w:rPr>
        <w:t>Investigated contraction mechanisms of ventricular heart cells</w:t>
      </w:r>
    </w:p>
    <w:p>
      <w:pPr>
        <w:numPr>
          <w:ilvl w:val="0"/>
          <w:numId w:val="10"/>
        </w:numPr>
        <w:tabs>
          <w:tab w:val="clear" w:pos="720"/>
          <w:tab w:val="num" w:pos="0"/>
        </w:tabs>
        <w:ind w:left="360"/>
        <w:jc w:val="both"/>
        <w:rPr>
          <w:sz w:val="20"/>
        </w:rPr>
      </w:pPr>
      <w:r>
        <w:rPr>
          <w:sz w:val="20"/>
        </w:rPr>
        <w:t>Design and constructed a Total Internal Reflection Microscope (TIRM) to be used for rapid imaging of cell surfaces</w:t>
      </w:r>
    </w:p>
    <w:p>
      <w:pPr>
        <w:numPr>
          <w:ilvl w:val="0"/>
          <w:numId w:val="10"/>
        </w:numPr>
        <w:tabs>
          <w:tab w:val="clear" w:pos="720"/>
          <w:tab w:val="num" w:pos="0"/>
        </w:tabs>
        <w:ind w:left="360"/>
        <w:jc w:val="both"/>
        <w:rPr>
          <w:sz w:val="20"/>
        </w:rPr>
      </w:pPr>
      <w:r>
        <w:rPr>
          <w:sz w:val="20"/>
        </w:rPr>
        <w:t>Utilized x86 assembly language to set specific timing constraints for real-time imaging</w:t>
      </w:r>
    </w:p>
    <w:p>
      <w:pPr>
        <w:jc w:val="both"/>
        <w:rPr>
          <w:sz w:val="20"/>
        </w:rPr>
      </w:pPr>
    </w:p>
    <w:p>
      <w:pPr>
        <w:jc w:val="both"/>
        <w:rPr>
          <w:sz w:val="20"/>
          <w:szCs w:val="22"/>
        </w:rPr>
      </w:pPr>
      <w:r>
        <w:rPr>
          <w:sz w:val="20"/>
          <w:szCs w:val="22"/>
        </w:rPr>
        <w:t>Research Intern</w:t>
      </w:r>
    </w:p>
    <w:p>
      <w:pPr>
        <w:jc w:val="both"/>
        <w:rPr>
          <w:bCs/>
          <w:iCs/>
          <w:sz w:val="20"/>
          <w:szCs w:val="22"/>
        </w:rPr>
      </w:pPr>
      <w:r>
        <w:rPr>
          <w:bCs/>
          <w:iCs/>
          <w:sz w:val="20"/>
          <w:szCs w:val="22"/>
        </w:rPr>
        <w:t>The National Institutes of Health, 1996 – 1999</w:t>
      </w:r>
    </w:p>
    <w:p>
      <w:pPr>
        <w:numPr>
          <w:ilvl w:val="0"/>
          <w:numId w:val="10"/>
        </w:numPr>
        <w:tabs>
          <w:tab w:val="clear" w:pos="720"/>
          <w:tab w:val="num" w:pos="0"/>
        </w:tabs>
        <w:ind w:left="360"/>
        <w:jc w:val="both"/>
        <w:rPr>
          <w:sz w:val="20"/>
        </w:rPr>
      </w:pPr>
      <w:r>
        <w:rPr>
          <w:sz w:val="20"/>
        </w:rPr>
        <w:t xml:space="preserve">Assisted senior research scientists in various laboratories, analyzing data, performing basic laboratory duties, documenting procedures and results, and compiling results for the purposes of publishing </w:t>
      </w:r>
    </w:p>
    <w:p>
      <w:pPr>
        <w:numPr>
          <w:ilvl w:val="1"/>
          <w:numId w:val="10"/>
        </w:numPr>
        <w:jc w:val="both"/>
        <w:rPr>
          <w:sz w:val="20"/>
        </w:rPr>
      </w:pPr>
      <w:r>
        <w:rPr>
          <w:sz w:val="20"/>
        </w:rPr>
        <w:t>National Institute of Child Health and Human Development (NICHD), 1999</w:t>
      </w:r>
    </w:p>
    <w:p>
      <w:pPr>
        <w:numPr>
          <w:ilvl w:val="1"/>
          <w:numId w:val="10"/>
        </w:numPr>
        <w:jc w:val="both"/>
        <w:rPr>
          <w:sz w:val="20"/>
        </w:rPr>
      </w:pPr>
      <w:r>
        <w:rPr>
          <w:sz w:val="20"/>
        </w:rPr>
        <w:t>National Cancer Institute (NCI), 1998</w:t>
      </w:r>
    </w:p>
    <w:p>
      <w:pPr>
        <w:numPr>
          <w:ilvl w:val="1"/>
          <w:numId w:val="10"/>
        </w:numPr>
        <w:jc w:val="both"/>
        <w:rPr>
          <w:sz w:val="20"/>
        </w:rPr>
      </w:pPr>
      <w:r>
        <w:rPr>
          <w:sz w:val="20"/>
        </w:rPr>
        <w:t>National Institute of Neurological Disorders and Stroke (NINDS), 1996, 1997</w:t>
      </w:r>
    </w:p>
    <w:sectPr>
      <w:headerReference w:type="default" r:id="rId7"/>
      <w:footerReference w:type="default" r:id="rId8"/>
      <w:pgSz w:w="12240" w:h="15840" w:code="1"/>
      <w:pgMar w:top="1440" w:right="1440" w:bottom="1440" w:left="1440" w:header="1080" w:footer="10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DD7" w:rsidRDefault="00397DD7">
      <w:r>
        <w:separator/>
      </w:r>
    </w:p>
  </w:endnote>
  <w:endnote w:type="continuationSeparator" w:id="0">
    <w:p w:rsidR="00397DD7" w:rsidRDefault="00397D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radeGothic">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78E" w:rsidRPr="00AD7DAE" w:rsidRDefault="000F378E" w:rsidP="000F378E">
    <w:pPr>
      <w:pStyle w:val="Footer"/>
      <w:ind w:left="-720" w:firstLine="720"/>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DD7" w:rsidRDefault="00397DD7">
      <w:r>
        <w:separator/>
      </w:r>
    </w:p>
  </w:footnote>
  <w:footnote w:type="continuationSeparator" w:id="0">
    <w:p w:rsidR="00397DD7" w:rsidRDefault="00397D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78E" w:rsidRPr="002F4D31" w:rsidRDefault="000F378E" w:rsidP="000F378E">
    <w:pPr>
      <w:tabs>
        <w:tab w:val="left" w:pos="1467"/>
      </w:tabs>
      <w:ind w:left="-900"/>
      <w:rPr>
        <w:rFonts w:ascii="TradeGothic" w:hAnsi="TradeGothic"/>
        <w:color w:val="A49B9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8516D"/>
    <w:multiLevelType w:val="hybridMultilevel"/>
    <w:tmpl w:val="17C0798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08043077"/>
    <w:multiLevelType w:val="hybridMultilevel"/>
    <w:tmpl w:val="F42837D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165C0B40"/>
    <w:multiLevelType w:val="hybridMultilevel"/>
    <w:tmpl w:val="9260E5F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1F2B63B2"/>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4">
    <w:nsid w:val="27436F45"/>
    <w:multiLevelType w:val="hybridMultilevel"/>
    <w:tmpl w:val="0F04731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3C153E9C"/>
    <w:multiLevelType w:val="hybridMultilevel"/>
    <w:tmpl w:val="0942995C"/>
    <w:lvl w:ilvl="0" w:tplc="04090001">
      <w:start w:val="1"/>
      <w:numFmt w:val="bullet"/>
      <w:lvlText w:val=""/>
      <w:lvlJc w:val="left"/>
      <w:pPr>
        <w:tabs>
          <w:tab w:val="num" w:pos="720"/>
        </w:tabs>
        <w:ind w:left="720" w:hanging="360"/>
      </w:pPr>
      <w:rPr>
        <w:rFonts w:ascii="Symbol" w:hAnsi="Symbol" w:hint="default"/>
      </w:rPr>
    </w:lvl>
    <w:lvl w:ilvl="1" w:tplc="9544C77A">
      <w:start w:val="1"/>
      <w:numFmt w:val="bullet"/>
      <w:lvlText w:val=""/>
      <w:lvlJc w:val="left"/>
      <w:pPr>
        <w:tabs>
          <w:tab w:val="num" w:pos="1080"/>
        </w:tabs>
        <w:ind w:left="1296" w:hanging="216"/>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15F089B"/>
    <w:multiLevelType w:val="singleLevel"/>
    <w:tmpl w:val="3E387BD8"/>
    <w:lvl w:ilvl="0">
      <w:start w:val="1"/>
      <w:numFmt w:val="bullet"/>
      <w:pStyle w:val="ulul0"/>
      <w:lvlText w:val="–"/>
      <w:lvlJc w:val="left"/>
      <w:pPr>
        <w:tabs>
          <w:tab w:val="num" w:pos="360"/>
        </w:tabs>
        <w:ind w:left="360" w:hanging="360"/>
      </w:pPr>
      <w:rPr>
        <w:rFonts w:ascii="Times New Roman" w:hAnsi="Times New Roman" w:hint="default"/>
        <w:sz w:val="18"/>
      </w:rPr>
    </w:lvl>
  </w:abstractNum>
  <w:abstractNum w:abstractNumId="7">
    <w:nsid w:val="502016D1"/>
    <w:multiLevelType w:val="hybridMultilevel"/>
    <w:tmpl w:val="182210C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64793711"/>
    <w:multiLevelType w:val="hybridMultilevel"/>
    <w:tmpl w:val="7974E73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77CB6633"/>
    <w:multiLevelType w:val="hybridMultilevel"/>
    <w:tmpl w:val="27E83A60"/>
    <w:lvl w:ilvl="0" w:tplc="04090001">
      <w:start w:val="1"/>
      <w:numFmt w:val="bullet"/>
      <w:lvlText w:val=""/>
      <w:lvlJc w:val="left"/>
      <w:pPr>
        <w:tabs>
          <w:tab w:val="num" w:pos="720"/>
        </w:tabs>
        <w:ind w:left="720" w:hanging="360"/>
      </w:pPr>
      <w:rPr>
        <w:rFonts w:ascii="Symbol" w:hAnsi="Symbol" w:hint="default"/>
      </w:rPr>
    </w:lvl>
    <w:lvl w:ilvl="1" w:tplc="9544C77A">
      <w:start w:val="1"/>
      <w:numFmt w:val="bullet"/>
      <w:lvlText w:val=""/>
      <w:lvlJc w:val="left"/>
      <w:pPr>
        <w:tabs>
          <w:tab w:val="num" w:pos="1080"/>
        </w:tabs>
        <w:ind w:left="1296" w:hanging="216"/>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5"/>
  </w:num>
  <w:num w:numId="3">
    <w:abstractNumId w:val="6"/>
  </w:num>
  <w:num w:numId="4">
    <w:abstractNumId w:val="3"/>
  </w:num>
  <w:num w:numId="5">
    <w:abstractNumId w:val="1"/>
  </w:num>
  <w:num w:numId="6">
    <w:abstractNumId w:val="8"/>
  </w:num>
  <w:num w:numId="7">
    <w:abstractNumId w:val="7"/>
  </w:num>
  <w:num w:numId="8">
    <w:abstractNumId w:val="2"/>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1B0310"/>
    <w:rsid w:val="000F378E"/>
    <w:rsid w:val="00397DD7"/>
    <w:rsid w:val="00641797"/>
    <w:rsid w:val="00FB380B"/>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D52BE4"/>
    <w:rPr>
      <w:rFonts w:ascii="Century Gothic" w:hAnsi="Century Gothic"/>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G10Title">
    <w:name w:val="G10 Title"/>
    <w:basedOn w:val="Normal"/>
    <w:rsid w:val="00D52BE4"/>
    <w:pPr>
      <w:spacing w:after="600"/>
      <w:ind w:left="720" w:right="720"/>
    </w:pPr>
    <w:rPr>
      <w:b/>
      <w:spacing w:val="200"/>
      <w:sz w:val="48"/>
      <w:szCs w:val="48"/>
    </w:rPr>
  </w:style>
  <w:style w:type="paragraph" w:styleId="Header">
    <w:name w:val="header"/>
    <w:basedOn w:val="Normal"/>
    <w:rsid w:val="00D52BE4"/>
    <w:pPr>
      <w:tabs>
        <w:tab w:val="center" w:pos="4320"/>
        <w:tab w:val="right" w:pos="8640"/>
      </w:tabs>
    </w:pPr>
  </w:style>
  <w:style w:type="paragraph" w:styleId="Footer">
    <w:name w:val="footer"/>
    <w:basedOn w:val="Normal"/>
    <w:rsid w:val="00D52BE4"/>
    <w:pPr>
      <w:tabs>
        <w:tab w:val="center" w:pos="4320"/>
        <w:tab w:val="right" w:pos="8640"/>
      </w:tabs>
    </w:pPr>
  </w:style>
  <w:style w:type="paragraph" w:styleId="BodyText">
    <w:name w:val="Body Text"/>
    <w:basedOn w:val="Normal"/>
    <w:rsid w:val="00D52BE4"/>
    <w:pPr>
      <w:spacing w:after="220" w:line="220" w:lineRule="atLeast"/>
      <w:jc w:val="both"/>
    </w:pPr>
    <w:rPr>
      <w:rFonts w:ascii="Arial" w:eastAsia="Batang" w:hAnsi="Arial"/>
      <w:spacing w:val="-5"/>
      <w:sz w:val="20"/>
      <w:szCs w:val="20"/>
    </w:rPr>
  </w:style>
  <w:style w:type="paragraph" w:customStyle="1" w:styleId="SectionTitle">
    <w:name w:val="Section Title"/>
    <w:basedOn w:val="Normal"/>
    <w:next w:val="Normal"/>
    <w:autoRedefine/>
    <w:rsid w:val="00D52BE4"/>
    <w:rPr>
      <w:rFonts w:eastAsia="Batang" w:cs="Arial"/>
      <w:b/>
      <w:caps/>
      <w:spacing w:val="-10"/>
      <w:szCs w:val="22"/>
    </w:rPr>
  </w:style>
  <w:style w:type="paragraph" w:customStyle="1" w:styleId="University">
    <w:name w:val="University"/>
    <w:basedOn w:val="Normal"/>
    <w:rsid w:val="00D52BE4"/>
    <w:pPr>
      <w:tabs>
        <w:tab w:val="right" w:pos="9360"/>
      </w:tabs>
    </w:pPr>
    <w:rPr>
      <w:rFonts w:ascii="Times" w:hAnsi="Times"/>
      <w:sz w:val="20"/>
      <w:szCs w:val="20"/>
    </w:rPr>
  </w:style>
  <w:style w:type="paragraph" w:customStyle="1" w:styleId="Company">
    <w:name w:val="Company"/>
    <w:basedOn w:val="Normal"/>
    <w:rsid w:val="00D52BE4"/>
    <w:pPr>
      <w:tabs>
        <w:tab w:val="right" w:pos="9360"/>
      </w:tabs>
    </w:pPr>
    <w:rPr>
      <w:rFonts w:ascii="Garamond" w:hAnsi="Garamond"/>
      <w:b/>
      <w:szCs w:val="20"/>
    </w:rPr>
  </w:style>
  <w:style w:type="paragraph" w:customStyle="1" w:styleId="Responsibilities">
    <w:name w:val="Responsibilities"/>
    <w:basedOn w:val="Normal"/>
    <w:rsid w:val="00D52BE4"/>
    <w:pPr>
      <w:tabs>
        <w:tab w:val="right" w:pos="9360"/>
      </w:tabs>
      <w:ind w:left="900" w:hanging="360"/>
    </w:pPr>
    <w:rPr>
      <w:rFonts w:ascii="Times" w:hAnsi="Times"/>
      <w:sz w:val="20"/>
      <w:szCs w:val="20"/>
    </w:rPr>
  </w:style>
  <w:style w:type="paragraph" w:customStyle="1" w:styleId="ProjectTitle">
    <w:name w:val="Project Title"/>
    <w:basedOn w:val="Normal"/>
    <w:rsid w:val="00D52BE4"/>
    <w:pPr>
      <w:tabs>
        <w:tab w:val="right" w:pos="9360"/>
      </w:tabs>
      <w:ind w:left="360"/>
    </w:pPr>
    <w:rPr>
      <w:rFonts w:ascii="Garamond" w:hAnsi="Garamond"/>
      <w:szCs w:val="20"/>
    </w:rPr>
  </w:style>
  <w:style w:type="paragraph" w:customStyle="1" w:styleId="ulul0">
    <w:name w:val="ulul:0"/>
    <w:basedOn w:val="Normal"/>
    <w:rsid w:val="00D52BE4"/>
    <w:pPr>
      <w:widowControl w:val="0"/>
      <w:numPr>
        <w:numId w:val="3"/>
      </w:numPr>
      <w:tabs>
        <w:tab w:val="left" w:pos="720"/>
      </w:tabs>
      <w:ind w:left="1080"/>
    </w:pPr>
    <w:rPr>
      <w:rFonts w:ascii="Times New Roman" w:hAnsi="Times New Roman"/>
      <w:snapToGrid w:val="0"/>
      <w:sz w:val="20"/>
      <w:szCs w:val="20"/>
    </w:rPr>
  </w:style>
  <w:style w:type="paragraph" w:customStyle="1" w:styleId="ul0">
    <w:name w:val="ul:0"/>
    <w:basedOn w:val="Normal"/>
    <w:rsid w:val="00D52BE4"/>
    <w:pPr>
      <w:widowControl w:val="0"/>
      <w:tabs>
        <w:tab w:val="left" w:pos="720"/>
      </w:tabs>
    </w:pPr>
    <w:rPr>
      <w:rFonts w:ascii="Times New Roman" w:hAnsi="Times New Roman"/>
      <w:snapToGrid w:val="0"/>
      <w:sz w:val="20"/>
      <w:szCs w:val="20"/>
    </w:rPr>
  </w:style>
  <w:style w:type="paragraph" w:styleId="BodyText2">
    <w:name w:val="Body Text 2"/>
    <w:basedOn w:val="Normal"/>
    <w:rsid w:val="00D52BE4"/>
    <w:pPr>
      <w:widowControl w:val="0"/>
      <w:ind w:left="547"/>
    </w:pPr>
    <w:rPr>
      <w:rFonts w:ascii="Times New Roman" w:hAnsi="Times New Roman"/>
      <w:szCs w:val="20"/>
    </w:rPr>
  </w:style>
  <w:style w:type="character" w:styleId="PageNumber">
    <w:name w:val="page number"/>
    <w:rsid w:val="00D52BE4"/>
    <w:rPr>
      <w:rFonts w:ascii="Arial" w:hAnsi="Arial"/>
      <w:sz w:val="18"/>
    </w:rPr>
  </w:style>
  <w:style w:type="character" w:styleId="Hyperlink">
    <w:name w:val="Hyperlink"/>
    <w:basedOn w:val="DefaultParagraphFont"/>
    <w:rsid w:val="00D52BE4"/>
    <w:rPr>
      <w:color w:val="0000FF"/>
      <w:u w:val="single"/>
    </w:rPr>
  </w:style>
</w:styles>
</file>

<file path=word/webSettings.xml><?xml version="1.0" encoding="utf-8"?>
<w:webSettings xmlns:r="http://schemas.openxmlformats.org/officeDocument/2006/relationships" xmlns:w="http://schemas.openxmlformats.org/wordprocessingml/2006/main">
  <w:divs>
    <w:div w:id="201406882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targetScreenSz w:val="1024x768"/>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10" Type="http://schemas.openxmlformats.org/officeDocument/2006/relationships/theme" Target="theme/theme1.xml" />
  <Relationship Id="rId4" Type="http://schemas.openxmlformats.org/officeDocument/2006/relationships/webSettings" Target="webSettings.xml" />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Pages>1</Pages>
  <Words>1158</Words>
  <Characters>6601</Characters>
  <DocSecurity>0</DocSecurity>
  <Lines>55</Lines>
  <Paragraphs>15</Paragraphs>
  <ScaleCrop>false</ScaleCrop>
  <HeadingPairs>
    <vt:vector size="2" baseType="variant">
      <vt:variant>
        <vt:lpstr>Title</vt:lpstr>
      </vt:variant>
      <vt:variant>
        <vt:i4>1</vt:i4>
      </vt:variant>
    </vt:vector>
  </HeadingPairs>
  <LinksUpToDate>false</LinksUpToDate>
  <CharactersWithSpaces>7744</CharactersWithSpaces>
  <SharedDoc>false</SharedDoc>
  <HyperlinksChanged>false</HyperlinksChanged>
</Properties>
</file>