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08C" w:rsidRPr="004B5B88" w:rsidRDefault="0001708C" w:rsidP="004B5B88">
      <w:pPr>
        <w:pStyle w:val="1"/>
        <w:shd w:val="clear" w:color="auto" w:fill="FFFFFF"/>
        <w:jc w:val="both"/>
        <w:rPr>
          <w:color w:val="000000"/>
        </w:rPr>
      </w:pPr>
      <w:r w:rsidRPr="008B7B24">
        <w:rPr>
          <w:color w:val="000000"/>
          <w:szCs w:val="18"/>
        </w:rPr>
        <w:t>УДК</w:t>
      </w:r>
      <w:r w:rsidR="004B5B88">
        <w:rPr>
          <w:color w:val="000000"/>
          <w:szCs w:val="18"/>
        </w:rPr>
        <w:t xml:space="preserve"> </w:t>
      </w:r>
      <w:r w:rsidR="004B5B88">
        <w:rPr>
          <w:color w:val="000000"/>
        </w:rPr>
        <w:t>629.7.02</w:t>
      </w:r>
      <w:r w:rsidR="00BF5C67" w:rsidRPr="008B7B24">
        <w:rPr>
          <w:b w:val="0"/>
          <w:i/>
          <w:color w:val="000000"/>
          <w:szCs w:val="18"/>
        </w:rPr>
        <w:fldChar w:fldCharType="begin"/>
      </w:r>
      <w:r w:rsidRPr="008B7B24">
        <w:rPr>
          <w:i/>
          <w:color w:val="000000"/>
          <w:szCs w:val="18"/>
        </w:rPr>
        <w:instrText xml:space="preserve"> TC  "</w:instrText>
      </w:r>
      <w:bookmarkStart w:id="0" w:name="_Toc519548879"/>
      <w:r w:rsidRPr="008B7B24">
        <w:rPr>
          <w:i/>
          <w:color w:val="000000"/>
          <w:szCs w:val="18"/>
        </w:rPr>
        <w:instrText>А. М. Комиссарчук, Г. А. Акимов</w:instrText>
      </w:r>
      <w:bookmarkEnd w:id="0"/>
      <w:r w:rsidRPr="008B7B24">
        <w:rPr>
          <w:i/>
          <w:color w:val="000000"/>
          <w:szCs w:val="18"/>
        </w:rPr>
        <w:instrText xml:space="preserve">" \l 1 \n </w:instrText>
      </w:r>
      <w:r w:rsidR="00BF5C67" w:rsidRPr="008B7B24">
        <w:rPr>
          <w:b w:val="0"/>
          <w:i/>
          <w:color w:val="000000"/>
          <w:szCs w:val="18"/>
        </w:rPr>
        <w:fldChar w:fldCharType="end"/>
      </w:r>
    </w:p>
    <w:p w:rsidR="00353D4E" w:rsidRPr="00353D4E" w:rsidRDefault="00353D4E" w:rsidP="00353D4E">
      <w:pPr>
        <w:spacing w:after="0"/>
        <w:jc w:val="center"/>
        <w:rPr>
          <w:rFonts w:ascii="Times New Roman" w:hAnsi="Times New Roman" w:cs="Times New Roman"/>
          <w:b/>
          <w:sz w:val="18"/>
          <w:szCs w:val="18"/>
          <w:lang w:eastAsia="ru-RU"/>
        </w:rPr>
      </w:pPr>
      <w:r w:rsidRPr="00353D4E">
        <w:rPr>
          <w:rFonts w:ascii="Times New Roman" w:hAnsi="Times New Roman" w:cs="Times New Roman"/>
          <w:b/>
          <w:color w:val="000000"/>
          <w:sz w:val="18"/>
          <w:szCs w:val="18"/>
          <w:shd w:val="clear" w:color="auto" w:fill="FFFFFF"/>
        </w:rPr>
        <w:t>МОДЕЛИРОВАНИЕ ГОРЕНИЯ ТОПЛИВНО-ВОЗДУШНО</w:t>
      </w:r>
      <w:r w:rsidR="00510CAF">
        <w:rPr>
          <w:rFonts w:ascii="Times New Roman" w:hAnsi="Times New Roman" w:cs="Times New Roman"/>
          <w:b/>
          <w:color w:val="000000"/>
          <w:sz w:val="18"/>
          <w:szCs w:val="18"/>
          <w:shd w:val="clear" w:color="auto" w:fill="FFFFFF"/>
        </w:rPr>
        <w:t>Й</w:t>
      </w:r>
      <w:r w:rsidRPr="00353D4E">
        <w:rPr>
          <w:rFonts w:ascii="Times New Roman" w:hAnsi="Times New Roman" w:cs="Times New Roman"/>
          <w:b/>
          <w:color w:val="000000"/>
          <w:sz w:val="18"/>
          <w:szCs w:val="18"/>
          <w:shd w:val="clear" w:color="auto" w:fill="FFFFFF"/>
        </w:rPr>
        <w:t xml:space="preserve"> СМЕСИ В КАМЕРЕ СГОРАНИЯ ГТД</w:t>
      </w:r>
    </w:p>
    <w:p w:rsidR="0001708C" w:rsidRPr="008B7B24" w:rsidRDefault="00D763A5" w:rsidP="0001708C">
      <w:pPr>
        <w:pStyle w:val="11"/>
      </w:pPr>
      <w:r>
        <w:t>А</w:t>
      </w:r>
      <w:r w:rsidR="0001708C" w:rsidRPr="008B7B24">
        <w:t>.</w:t>
      </w:r>
      <w:r w:rsidR="0001708C">
        <w:t xml:space="preserve"> </w:t>
      </w:r>
      <w:r w:rsidR="00C40CF3">
        <w:t>С</w:t>
      </w:r>
      <w:r>
        <w:t xml:space="preserve">. </w:t>
      </w:r>
      <w:proofErr w:type="spellStart"/>
      <w:r>
        <w:t>Акилов</w:t>
      </w:r>
      <w:proofErr w:type="spellEnd"/>
      <w:r w:rsidR="008B5664">
        <w:t>,</w:t>
      </w:r>
      <w:r w:rsidR="00EF705A" w:rsidRPr="00EF705A">
        <w:t xml:space="preserve"> </w:t>
      </w:r>
      <w:r w:rsidR="00EF705A">
        <w:t>К</w:t>
      </w:r>
      <w:r w:rsidR="00EF705A" w:rsidRPr="008B7B24">
        <w:t>.</w:t>
      </w:r>
      <w:r w:rsidR="00EF705A">
        <w:t xml:space="preserve"> К. </w:t>
      </w:r>
      <w:proofErr w:type="spellStart"/>
      <w:r w:rsidR="00EF705A">
        <w:t>Либерт</w:t>
      </w:r>
      <w:proofErr w:type="spellEnd"/>
    </w:p>
    <w:p w:rsidR="0001708C" w:rsidRPr="00F357D4" w:rsidRDefault="0001708C" w:rsidP="0001708C">
      <w:pPr>
        <w:pStyle w:val="a4"/>
      </w:pPr>
      <w:r w:rsidRPr="00F357D4">
        <w:t>Балтийский государственный технический университет «ВОЕНМЕХ» им. Д.Ф.Устинова</w:t>
      </w:r>
    </w:p>
    <w:p w:rsidR="0001708C" w:rsidRPr="00110AE8" w:rsidRDefault="0001708C" w:rsidP="0001708C">
      <w:pPr>
        <w:pStyle w:val="a4"/>
      </w:pPr>
    </w:p>
    <w:p w:rsidR="00EF705A" w:rsidRDefault="00EF705A" w:rsidP="00EF705A">
      <w:pPr>
        <w:spacing w:after="0"/>
        <w:rPr>
          <w:rFonts w:ascii="Times New Roman" w:hAnsi="Times New Roman" w:cs="Times New Roman"/>
          <w:sz w:val="18"/>
          <w:szCs w:val="18"/>
        </w:rPr>
      </w:pPr>
      <w:r>
        <w:rPr>
          <w:rFonts w:ascii="Times New Roman" w:hAnsi="Times New Roman" w:cs="Times New Roman"/>
          <w:sz w:val="18"/>
          <w:szCs w:val="18"/>
        </w:rPr>
        <w:tab/>
      </w:r>
      <w:r w:rsidRPr="00F87F1C">
        <w:rPr>
          <w:rFonts w:ascii="Times New Roman" w:hAnsi="Times New Roman" w:cs="Times New Roman"/>
          <w:sz w:val="18"/>
          <w:szCs w:val="18"/>
        </w:rPr>
        <w:t xml:space="preserve">Одним из основных узлов воздушно-реактивного двигателя является камера сгорания. Её особенностью является то, что большинство протекающих в ней процессов (распыл топлива, его перемешивание с окислителем, горение образовавшейся смеси) довольно сложны. В связи с  этим возникают проблемы при их моделировании в </w:t>
      </w:r>
      <w:r w:rsidRPr="00F87F1C">
        <w:rPr>
          <w:rFonts w:ascii="Times New Roman" w:hAnsi="Times New Roman" w:cs="Times New Roman"/>
          <w:sz w:val="18"/>
          <w:szCs w:val="18"/>
          <w:lang w:val="en-US"/>
        </w:rPr>
        <w:t>CAE</w:t>
      </w:r>
      <w:r w:rsidRPr="00F87F1C">
        <w:rPr>
          <w:rFonts w:ascii="Times New Roman" w:hAnsi="Times New Roman" w:cs="Times New Roman"/>
          <w:sz w:val="18"/>
          <w:szCs w:val="18"/>
        </w:rPr>
        <w:t>-системах. Современные программные пакеты не в полной мере описывают все протекающие в КС процессы, не смотря на то, что имеется возможность рассчитывать сотни химических реакций, которые возникают при сгорании топливно-воздушной смеси. Это неизбежно приводит к недостаточной точности результатов расчета.</w:t>
      </w:r>
    </w:p>
    <w:p w:rsidR="00EF705A" w:rsidRPr="00F87F1C" w:rsidRDefault="00EF705A" w:rsidP="00EF705A">
      <w:pPr>
        <w:spacing w:after="0"/>
        <w:rPr>
          <w:rFonts w:ascii="Times New Roman" w:hAnsi="Times New Roman" w:cs="Times New Roman"/>
          <w:sz w:val="18"/>
          <w:szCs w:val="18"/>
        </w:rPr>
      </w:pPr>
      <w:r>
        <w:rPr>
          <w:rFonts w:ascii="Times New Roman" w:hAnsi="Times New Roman" w:cs="Times New Roman"/>
          <w:sz w:val="18"/>
          <w:szCs w:val="18"/>
        </w:rPr>
        <w:tab/>
      </w:r>
      <w:r w:rsidRPr="00F87F1C">
        <w:rPr>
          <w:rFonts w:ascii="Times New Roman" w:hAnsi="Times New Roman" w:cs="Times New Roman"/>
          <w:sz w:val="18"/>
          <w:szCs w:val="18"/>
        </w:rPr>
        <w:t>Для получения требуемых характеристик разрабатываемой камеры сгорания после серии расчетов проводится большой объем экспериментально-доводочных работ. Для уменьшения денежных и временных затрат на эти работы, необходимо иметь максимально точные результаты расчетов протекающих процессов.</w:t>
      </w:r>
    </w:p>
    <w:p w:rsidR="00EF705A" w:rsidRPr="00F87F1C" w:rsidRDefault="00EF705A" w:rsidP="00EF705A">
      <w:pPr>
        <w:spacing w:after="0"/>
        <w:rPr>
          <w:rFonts w:ascii="Times New Roman" w:hAnsi="Times New Roman" w:cs="Times New Roman"/>
          <w:sz w:val="18"/>
          <w:szCs w:val="18"/>
        </w:rPr>
      </w:pPr>
      <w:r w:rsidRPr="00F87F1C">
        <w:rPr>
          <w:rFonts w:ascii="Times New Roman" w:hAnsi="Times New Roman" w:cs="Times New Roman"/>
          <w:sz w:val="18"/>
          <w:szCs w:val="18"/>
        </w:rPr>
        <w:tab/>
        <w:t xml:space="preserve">Чтобы добиться наиболее </w:t>
      </w:r>
      <w:proofErr w:type="spellStart"/>
      <w:r w:rsidRPr="00F87F1C">
        <w:rPr>
          <w:rFonts w:ascii="Times New Roman" w:hAnsi="Times New Roman" w:cs="Times New Roman"/>
          <w:sz w:val="18"/>
          <w:szCs w:val="18"/>
        </w:rPr>
        <w:t>физичных</w:t>
      </w:r>
      <w:proofErr w:type="spellEnd"/>
      <w:r w:rsidRPr="00F87F1C">
        <w:rPr>
          <w:rFonts w:ascii="Times New Roman" w:hAnsi="Times New Roman" w:cs="Times New Roman"/>
          <w:sz w:val="18"/>
          <w:szCs w:val="18"/>
        </w:rPr>
        <w:t xml:space="preserve"> и точных результатов при моделировании процессов горения в </w:t>
      </w:r>
      <w:r w:rsidRPr="00F87F1C">
        <w:rPr>
          <w:rFonts w:ascii="Times New Roman" w:hAnsi="Times New Roman" w:cs="Times New Roman"/>
          <w:sz w:val="18"/>
          <w:szCs w:val="18"/>
          <w:lang w:val="en-US"/>
        </w:rPr>
        <w:t>CAE</w:t>
      </w:r>
      <w:r w:rsidRPr="00F87F1C">
        <w:rPr>
          <w:rFonts w:ascii="Times New Roman" w:hAnsi="Times New Roman" w:cs="Times New Roman"/>
          <w:sz w:val="18"/>
          <w:szCs w:val="18"/>
        </w:rPr>
        <w:t>-системах, нужно обратить внимание на следующее:</w:t>
      </w:r>
    </w:p>
    <w:p w:rsidR="00EF705A" w:rsidRPr="00F87F1C" w:rsidRDefault="00EF705A" w:rsidP="00EF705A">
      <w:pPr>
        <w:pStyle w:val="a9"/>
        <w:numPr>
          <w:ilvl w:val="0"/>
          <w:numId w:val="5"/>
        </w:numPr>
        <w:spacing w:after="160" w:line="259" w:lineRule="auto"/>
        <w:jc w:val="left"/>
        <w:rPr>
          <w:rFonts w:ascii="Times New Roman" w:hAnsi="Times New Roman" w:cs="Times New Roman"/>
          <w:sz w:val="18"/>
          <w:szCs w:val="18"/>
        </w:rPr>
      </w:pPr>
      <w:r w:rsidRPr="00F87F1C">
        <w:rPr>
          <w:rFonts w:ascii="Times New Roman" w:hAnsi="Times New Roman" w:cs="Times New Roman"/>
          <w:sz w:val="18"/>
          <w:szCs w:val="18"/>
        </w:rPr>
        <w:t>Необходимо сгенерировать достаточно густую расчетную сетку, в связи с высокой интенсивностью протекающих процессов. Для уменьшения времени расчета её следует сгущать локально, например, в области образования «факела» и в зоне смешения окислителя и горючего;</w:t>
      </w:r>
    </w:p>
    <w:p w:rsidR="00EF705A" w:rsidRPr="00F87F1C" w:rsidRDefault="00EF705A" w:rsidP="00EF705A">
      <w:pPr>
        <w:pStyle w:val="a9"/>
        <w:numPr>
          <w:ilvl w:val="0"/>
          <w:numId w:val="5"/>
        </w:numPr>
        <w:spacing w:after="160" w:line="259" w:lineRule="auto"/>
        <w:jc w:val="left"/>
        <w:rPr>
          <w:rFonts w:ascii="Times New Roman" w:hAnsi="Times New Roman" w:cs="Times New Roman"/>
          <w:sz w:val="18"/>
          <w:szCs w:val="18"/>
        </w:rPr>
      </w:pPr>
      <w:r w:rsidRPr="00F87F1C">
        <w:rPr>
          <w:rFonts w:ascii="Times New Roman" w:hAnsi="Times New Roman" w:cs="Times New Roman"/>
          <w:sz w:val="18"/>
          <w:szCs w:val="18"/>
        </w:rPr>
        <w:t>Модель горения выбирается в зависимости от того, как подается топливо и окислитель в камеру сгорания: в уже смешанном виде или раздельно. Также при выборе и настройке модели необходимо учесть величину скорости течения газовой смеси по трактам КС, начальную температуру и давление компонентов;</w:t>
      </w:r>
    </w:p>
    <w:p w:rsidR="008F2752" w:rsidRPr="00023AD7" w:rsidRDefault="00EF705A" w:rsidP="00023AD7">
      <w:pPr>
        <w:pStyle w:val="a9"/>
        <w:numPr>
          <w:ilvl w:val="0"/>
          <w:numId w:val="5"/>
        </w:numPr>
        <w:spacing w:after="0" w:line="259" w:lineRule="auto"/>
        <w:ind w:left="714" w:hanging="357"/>
        <w:jc w:val="left"/>
        <w:rPr>
          <w:rFonts w:ascii="Times New Roman" w:hAnsi="Times New Roman" w:cs="Times New Roman"/>
          <w:sz w:val="18"/>
          <w:szCs w:val="18"/>
        </w:rPr>
      </w:pPr>
      <w:r w:rsidRPr="00F87F1C">
        <w:rPr>
          <w:rFonts w:ascii="Times New Roman" w:hAnsi="Times New Roman" w:cs="Times New Roman"/>
          <w:sz w:val="18"/>
          <w:szCs w:val="18"/>
        </w:rPr>
        <w:t xml:space="preserve">Важно выбрать оптимальную для поставленной задачи модель турбулентности. Все они различаются описанием течения потоков в области стенок, а также различными дополнительными переменными, которые определяют характеристики турбулентного течения. Во всех моделях присутствует дополнительный член, отвечающий за турбулентную вязкость, но рассчитывается он везде по разным методикам. Также необходимо помнить, что разные подходы к расчету турбулентного течения отличаются по величине вычислительных затрат на итерацию. </w:t>
      </w:r>
    </w:p>
    <w:p w:rsidR="00A70E7F" w:rsidRPr="00023AD7" w:rsidRDefault="0001708C" w:rsidP="00023AD7">
      <w:pPr>
        <w:spacing w:after="0" w:line="240" w:lineRule="auto"/>
        <w:jc w:val="center"/>
        <w:rPr>
          <w:rFonts w:ascii="Times New Roman" w:hAnsi="Times New Roman"/>
          <w:b/>
          <w:sz w:val="18"/>
          <w:szCs w:val="18"/>
        </w:rPr>
      </w:pPr>
      <w:r w:rsidRPr="001362E2">
        <w:rPr>
          <w:rFonts w:ascii="Times New Roman" w:hAnsi="Times New Roman"/>
          <w:b/>
          <w:sz w:val="18"/>
          <w:szCs w:val="18"/>
        </w:rPr>
        <w:t>Библиографический список</w:t>
      </w:r>
    </w:p>
    <w:p w:rsidR="007D300A" w:rsidRDefault="00A70E7F" w:rsidP="00EF705A">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sidRPr="00A70E7F">
        <w:rPr>
          <w:rFonts w:ascii="Times New Roman" w:eastAsiaTheme="minorHAnsi" w:hAnsi="Times New Roman" w:cs="Times New Roman"/>
          <w:sz w:val="16"/>
          <w:szCs w:val="16"/>
          <w:lang w:eastAsia="en-US"/>
        </w:rPr>
        <w:t>Щелкин</w:t>
      </w:r>
      <w:proofErr w:type="spellEnd"/>
      <w:r w:rsidRPr="00A70E7F">
        <w:rPr>
          <w:rFonts w:ascii="Times New Roman" w:eastAsiaTheme="minorHAnsi" w:hAnsi="Times New Roman" w:cs="Times New Roman"/>
          <w:sz w:val="16"/>
          <w:szCs w:val="16"/>
          <w:lang w:eastAsia="en-US"/>
        </w:rPr>
        <w:t xml:space="preserve"> К.И., Тр</w:t>
      </w:r>
      <w:r w:rsidR="00023AD7">
        <w:rPr>
          <w:rFonts w:ascii="Times New Roman" w:eastAsiaTheme="minorHAnsi" w:hAnsi="Times New Roman" w:cs="Times New Roman"/>
          <w:sz w:val="16"/>
          <w:szCs w:val="16"/>
          <w:lang w:eastAsia="en-US"/>
        </w:rPr>
        <w:t>ошин Я.К. Газодинамика горения;</w:t>
      </w:r>
      <w:r w:rsidRPr="00A70E7F">
        <w:rPr>
          <w:rFonts w:ascii="Times New Roman" w:eastAsiaTheme="minorHAnsi" w:hAnsi="Times New Roman" w:cs="Times New Roman"/>
          <w:sz w:val="16"/>
          <w:szCs w:val="16"/>
          <w:lang w:eastAsia="en-US"/>
        </w:rPr>
        <w:t xml:space="preserve"> Академия наук СССР институт химической физики. Москва 1963 г.</w:t>
      </w:r>
      <w:bookmarkStart w:id="1" w:name="_GoBack"/>
      <w:bookmarkEnd w:id="1"/>
    </w:p>
    <w:p w:rsidR="00353D4E" w:rsidRDefault="00353D4E" w:rsidP="00EF705A">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353D4E">
        <w:rPr>
          <w:rFonts w:ascii="Times New Roman" w:eastAsiaTheme="minorHAnsi" w:hAnsi="Times New Roman" w:cs="Times New Roman"/>
          <w:sz w:val="16"/>
          <w:szCs w:val="16"/>
          <w:lang w:eastAsia="en-US"/>
        </w:rPr>
        <w:t>С.</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А.</w:t>
      </w:r>
      <w:r>
        <w:rPr>
          <w:rFonts w:ascii="Times New Roman" w:eastAsiaTheme="minorHAnsi" w:hAnsi="Times New Roman" w:cs="Times New Roman"/>
          <w:sz w:val="16"/>
          <w:szCs w:val="16"/>
          <w:lang w:eastAsia="en-US"/>
        </w:rPr>
        <w:t xml:space="preserve"> </w:t>
      </w:r>
      <w:proofErr w:type="spellStart"/>
      <w:r w:rsidRPr="00353D4E">
        <w:rPr>
          <w:rFonts w:ascii="Times New Roman" w:eastAsiaTheme="minorHAnsi" w:hAnsi="Times New Roman" w:cs="Times New Roman"/>
          <w:sz w:val="16"/>
          <w:szCs w:val="16"/>
          <w:lang w:eastAsia="en-US"/>
        </w:rPr>
        <w:t>Вальгер</w:t>
      </w:r>
      <w:proofErr w:type="spellEnd"/>
      <w:r w:rsidRPr="00353D4E">
        <w:rPr>
          <w:rFonts w:ascii="Times New Roman" w:eastAsiaTheme="minorHAnsi" w:hAnsi="Times New Roman" w:cs="Times New Roman"/>
          <w:sz w:val="16"/>
          <w:szCs w:val="16"/>
          <w:lang w:eastAsia="en-US"/>
        </w:rPr>
        <w:t>,</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М.</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Н.</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Данилов,</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Ю.</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В.</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Захарова,</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Н.</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Н.</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Федорова.</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Основы</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работы</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в</w:t>
      </w:r>
      <w:r>
        <w:rPr>
          <w:rFonts w:ascii="Times New Roman" w:eastAsiaTheme="minorHAnsi" w:hAnsi="Times New Roman" w:cs="Times New Roman"/>
          <w:sz w:val="16"/>
          <w:szCs w:val="16"/>
          <w:lang w:eastAsia="en-US"/>
        </w:rPr>
        <w:t xml:space="preserve"> </w:t>
      </w:r>
      <w:r w:rsidRPr="00353D4E">
        <w:rPr>
          <w:rFonts w:ascii="Times New Roman" w:eastAsiaTheme="minorHAnsi" w:hAnsi="Times New Roman" w:cs="Times New Roman"/>
          <w:sz w:val="16"/>
          <w:szCs w:val="16"/>
          <w:lang w:eastAsia="en-US"/>
        </w:rPr>
        <w:t>ПК AN</w:t>
      </w:r>
      <w:r>
        <w:rPr>
          <w:rFonts w:ascii="Times New Roman" w:eastAsiaTheme="minorHAnsi" w:hAnsi="Times New Roman" w:cs="Times New Roman"/>
          <w:sz w:val="16"/>
          <w:szCs w:val="16"/>
          <w:lang w:eastAsia="en-US"/>
        </w:rPr>
        <w:t xml:space="preserve">SYS 16.0. </w:t>
      </w:r>
      <w:r w:rsidRPr="00353D4E">
        <w:rPr>
          <w:rFonts w:ascii="Times New Roman" w:eastAsiaTheme="minorHAnsi" w:hAnsi="Times New Roman" w:cs="Times New Roman"/>
          <w:sz w:val="16"/>
          <w:szCs w:val="16"/>
          <w:lang w:eastAsia="en-US"/>
        </w:rPr>
        <w:t xml:space="preserve"> Новосибирск</w:t>
      </w:r>
      <w:proofErr w:type="gramStart"/>
      <w:r w:rsidRPr="00353D4E">
        <w:rPr>
          <w:rFonts w:ascii="Times New Roman" w:eastAsiaTheme="minorHAnsi" w:hAnsi="Times New Roman" w:cs="Times New Roman"/>
          <w:sz w:val="16"/>
          <w:szCs w:val="16"/>
          <w:lang w:eastAsia="en-US"/>
        </w:rPr>
        <w:t xml:space="preserve"> :</w:t>
      </w:r>
      <w:proofErr w:type="gramEnd"/>
      <w:r w:rsidRPr="00353D4E">
        <w:rPr>
          <w:rFonts w:ascii="Times New Roman" w:eastAsiaTheme="minorHAnsi" w:hAnsi="Times New Roman" w:cs="Times New Roman"/>
          <w:sz w:val="16"/>
          <w:szCs w:val="16"/>
          <w:lang w:eastAsia="en-US"/>
        </w:rPr>
        <w:t xml:space="preserve"> НГАСУ (</w:t>
      </w:r>
      <w:proofErr w:type="spellStart"/>
      <w:r w:rsidRPr="00353D4E">
        <w:rPr>
          <w:rFonts w:ascii="Times New Roman" w:eastAsiaTheme="minorHAnsi" w:hAnsi="Times New Roman" w:cs="Times New Roman"/>
          <w:sz w:val="16"/>
          <w:szCs w:val="16"/>
          <w:lang w:eastAsia="en-US"/>
        </w:rPr>
        <w:t>Сибстрин</w:t>
      </w:r>
      <w:proofErr w:type="spellEnd"/>
      <w:r w:rsidRPr="00353D4E">
        <w:rPr>
          <w:rFonts w:ascii="Times New Roman" w:eastAsiaTheme="minorHAnsi" w:hAnsi="Times New Roman" w:cs="Times New Roman"/>
          <w:sz w:val="16"/>
          <w:szCs w:val="16"/>
          <w:lang w:eastAsia="en-US"/>
        </w:rPr>
        <w:t xml:space="preserve">), 2015. </w:t>
      </w:r>
    </w:p>
    <w:p w:rsidR="00023AD7" w:rsidRDefault="00023AD7" w:rsidP="00EF705A">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023AD7">
        <w:rPr>
          <w:rFonts w:ascii="Times New Roman" w:eastAsiaTheme="minorHAnsi" w:hAnsi="Times New Roman" w:cs="Times New Roman"/>
          <w:sz w:val="16"/>
          <w:szCs w:val="16"/>
          <w:lang w:eastAsia="en-US"/>
        </w:rPr>
        <w:t xml:space="preserve">Двигатель ТВЗ-117. Руководство по технической эксплуатации. 1986. 597 </w:t>
      </w:r>
      <w:proofErr w:type="gramStart"/>
      <w:r w:rsidRPr="00023AD7">
        <w:rPr>
          <w:rFonts w:ascii="Times New Roman" w:eastAsiaTheme="minorHAnsi" w:hAnsi="Times New Roman" w:cs="Times New Roman"/>
          <w:sz w:val="16"/>
          <w:szCs w:val="16"/>
          <w:lang w:eastAsia="en-US"/>
        </w:rPr>
        <w:t>с</w:t>
      </w:r>
      <w:proofErr w:type="gramEnd"/>
      <w:r w:rsidRPr="00023AD7">
        <w:rPr>
          <w:rFonts w:ascii="Times New Roman" w:eastAsiaTheme="minorHAnsi" w:hAnsi="Times New Roman" w:cs="Times New Roman"/>
          <w:sz w:val="16"/>
          <w:szCs w:val="16"/>
          <w:lang w:eastAsia="en-US"/>
        </w:rPr>
        <w:t>.</w:t>
      </w:r>
    </w:p>
    <w:p w:rsidR="00023AD7" w:rsidRDefault="00023AD7" w:rsidP="00EF705A">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sidRPr="00023AD7">
        <w:rPr>
          <w:rFonts w:ascii="Times New Roman" w:eastAsiaTheme="minorHAnsi" w:hAnsi="Times New Roman" w:cs="Times New Roman"/>
          <w:sz w:val="16"/>
          <w:szCs w:val="16"/>
          <w:lang w:eastAsia="en-US"/>
        </w:rPr>
        <w:t>Сахин</w:t>
      </w:r>
      <w:proofErr w:type="spellEnd"/>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В.</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В.,</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Термодинамика</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энергетических</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систем.</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Кн.</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2.Техническая</w:t>
      </w:r>
      <w:r>
        <w:rPr>
          <w:rFonts w:ascii="Times New Roman" w:eastAsiaTheme="minorHAnsi" w:hAnsi="Times New Roman" w:cs="Times New Roman"/>
          <w:sz w:val="16"/>
          <w:szCs w:val="16"/>
          <w:lang w:eastAsia="en-US"/>
        </w:rPr>
        <w:t xml:space="preserve"> </w:t>
      </w:r>
      <w:r w:rsidRPr="00023AD7">
        <w:rPr>
          <w:rFonts w:ascii="Times New Roman" w:eastAsiaTheme="minorHAnsi" w:hAnsi="Times New Roman" w:cs="Times New Roman"/>
          <w:sz w:val="16"/>
          <w:szCs w:val="16"/>
          <w:lang w:eastAsia="en-US"/>
        </w:rPr>
        <w:t>термодинамика: учебное пособие. И</w:t>
      </w:r>
      <w:r>
        <w:rPr>
          <w:rFonts w:ascii="Times New Roman" w:eastAsiaTheme="minorHAnsi" w:hAnsi="Times New Roman" w:cs="Times New Roman"/>
          <w:sz w:val="16"/>
          <w:szCs w:val="16"/>
          <w:lang w:eastAsia="en-US"/>
        </w:rPr>
        <w:t>зд. 2-е</w:t>
      </w:r>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Балт</w:t>
      </w:r>
      <w:proofErr w:type="spellEnd"/>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гос</w:t>
      </w:r>
      <w:proofErr w:type="spellEnd"/>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техн</w:t>
      </w:r>
      <w:proofErr w:type="spellEnd"/>
      <w:r w:rsidRPr="00023AD7">
        <w:rPr>
          <w:rFonts w:ascii="Times New Roman" w:eastAsiaTheme="minorHAnsi" w:hAnsi="Times New Roman" w:cs="Times New Roman"/>
          <w:sz w:val="16"/>
          <w:szCs w:val="16"/>
          <w:lang w:eastAsia="en-US"/>
        </w:rPr>
        <w:t>. ун-т Санкт</w:t>
      </w:r>
      <w:r>
        <w:rPr>
          <w:rFonts w:ascii="Times New Roman" w:eastAsiaTheme="minorHAnsi" w:hAnsi="Times New Roman" w:cs="Times New Roman"/>
          <w:sz w:val="16"/>
          <w:szCs w:val="16"/>
          <w:lang w:eastAsia="en-US"/>
        </w:rPr>
        <w:t>-Петербург:2014</w:t>
      </w:r>
      <w:r w:rsidRPr="00023AD7">
        <w:rPr>
          <w:rFonts w:ascii="Times New Roman" w:eastAsiaTheme="minorHAnsi" w:hAnsi="Times New Roman" w:cs="Times New Roman"/>
          <w:sz w:val="16"/>
          <w:szCs w:val="16"/>
          <w:lang w:eastAsia="en-US"/>
        </w:rPr>
        <w:t>.</w:t>
      </w:r>
    </w:p>
    <w:p w:rsidR="00023AD7" w:rsidRDefault="00023AD7" w:rsidP="00EF705A">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023AD7">
        <w:rPr>
          <w:rFonts w:ascii="Times New Roman" w:eastAsiaTheme="minorHAnsi" w:hAnsi="Times New Roman" w:cs="Times New Roman"/>
          <w:sz w:val="16"/>
          <w:szCs w:val="16"/>
          <w:lang w:eastAsia="en-US"/>
        </w:rPr>
        <w:t>Юнаков Л.П., Основы теории авиационных газотурбинны</w:t>
      </w:r>
      <w:r>
        <w:rPr>
          <w:rFonts w:ascii="Times New Roman" w:eastAsiaTheme="minorHAnsi" w:hAnsi="Times New Roman" w:cs="Times New Roman"/>
          <w:sz w:val="16"/>
          <w:szCs w:val="16"/>
          <w:lang w:eastAsia="en-US"/>
        </w:rPr>
        <w:t>х двигателей: учебное пособие</w:t>
      </w:r>
      <w:r w:rsidRPr="00023AD7">
        <w:rPr>
          <w:rFonts w:ascii="Times New Roman" w:eastAsiaTheme="minorHAnsi" w:hAnsi="Times New Roman" w:cs="Times New Roman"/>
          <w:sz w:val="16"/>
          <w:szCs w:val="16"/>
          <w:lang w:eastAsia="en-US"/>
        </w:rPr>
        <w:t>;</w:t>
      </w:r>
    </w:p>
    <w:p w:rsidR="00023AD7" w:rsidRPr="00EF705A" w:rsidRDefault="00023AD7" w:rsidP="00023AD7">
      <w:pPr>
        <w:pStyle w:val="a9"/>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Балт</w:t>
      </w:r>
      <w:proofErr w:type="spellEnd"/>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гос</w:t>
      </w:r>
      <w:proofErr w:type="spellEnd"/>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техн</w:t>
      </w:r>
      <w:proofErr w:type="spellEnd"/>
      <w:r w:rsidRPr="00023AD7">
        <w:rPr>
          <w:rFonts w:ascii="Times New Roman" w:eastAsiaTheme="minorHAnsi" w:hAnsi="Times New Roman" w:cs="Times New Roman"/>
          <w:sz w:val="16"/>
          <w:szCs w:val="16"/>
          <w:lang w:eastAsia="en-US"/>
        </w:rPr>
        <w:t xml:space="preserve">. ун-т. </w:t>
      </w:r>
      <w:r>
        <w:rPr>
          <w:rFonts w:ascii="Times New Roman" w:eastAsiaTheme="minorHAnsi" w:hAnsi="Times New Roman" w:cs="Times New Roman"/>
          <w:sz w:val="16"/>
          <w:szCs w:val="16"/>
          <w:lang w:eastAsia="en-US"/>
        </w:rPr>
        <w:t>–</w:t>
      </w:r>
      <w:r w:rsidRPr="00023AD7">
        <w:rPr>
          <w:rFonts w:ascii="Times New Roman" w:eastAsiaTheme="minorHAnsi" w:hAnsi="Times New Roman" w:cs="Times New Roman"/>
          <w:sz w:val="16"/>
          <w:szCs w:val="16"/>
          <w:lang w:eastAsia="en-US"/>
        </w:rPr>
        <w:t xml:space="preserve"> </w:t>
      </w:r>
      <w:proofErr w:type="spellStart"/>
      <w:r w:rsidRPr="00023AD7">
        <w:rPr>
          <w:rFonts w:ascii="Times New Roman" w:eastAsiaTheme="minorHAnsi" w:hAnsi="Times New Roman" w:cs="Times New Roman"/>
          <w:sz w:val="16"/>
          <w:szCs w:val="16"/>
          <w:lang w:eastAsia="en-US"/>
        </w:rPr>
        <w:t>Сантк</w:t>
      </w:r>
      <w:r>
        <w:rPr>
          <w:rFonts w:ascii="Times New Roman" w:eastAsiaTheme="minorHAnsi" w:hAnsi="Times New Roman" w:cs="Times New Roman"/>
          <w:sz w:val="16"/>
          <w:szCs w:val="16"/>
          <w:lang w:eastAsia="en-US"/>
        </w:rPr>
        <w:t>-Петербург</w:t>
      </w:r>
      <w:proofErr w:type="spellEnd"/>
      <w:r>
        <w:rPr>
          <w:rFonts w:ascii="Times New Roman" w:eastAsiaTheme="minorHAnsi" w:hAnsi="Times New Roman" w:cs="Times New Roman"/>
          <w:sz w:val="16"/>
          <w:szCs w:val="16"/>
          <w:lang w:eastAsia="en-US"/>
        </w:rPr>
        <w:t>., 2013.</w:t>
      </w:r>
    </w:p>
    <w:sectPr w:rsidR="00023AD7" w:rsidRPr="00EF705A" w:rsidSect="00EB0CE1">
      <w:pgSz w:w="11906" w:h="16838"/>
      <w:pgMar w:top="2517" w:right="1985" w:bottom="2517"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57F04"/>
    <w:multiLevelType w:val="hybridMultilevel"/>
    <w:tmpl w:val="DBEA2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3B1CB9"/>
    <w:multiLevelType w:val="hybridMultilevel"/>
    <w:tmpl w:val="2742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427579"/>
    <w:multiLevelType w:val="hybridMultilevel"/>
    <w:tmpl w:val="FEF6A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CE2AC0"/>
    <w:multiLevelType w:val="hybridMultilevel"/>
    <w:tmpl w:val="46A0E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566A15"/>
    <w:multiLevelType w:val="hybridMultilevel"/>
    <w:tmpl w:val="2742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33BD"/>
    <w:rsid w:val="0001708C"/>
    <w:rsid w:val="00023AD7"/>
    <w:rsid w:val="0007101E"/>
    <w:rsid w:val="000D2F0B"/>
    <w:rsid w:val="0026480F"/>
    <w:rsid w:val="002E2F13"/>
    <w:rsid w:val="00345844"/>
    <w:rsid w:val="00353D4E"/>
    <w:rsid w:val="00391B6A"/>
    <w:rsid w:val="003920D2"/>
    <w:rsid w:val="003E04B9"/>
    <w:rsid w:val="00433072"/>
    <w:rsid w:val="004A4BA3"/>
    <w:rsid w:val="004B5B88"/>
    <w:rsid w:val="004F3B9B"/>
    <w:rsid w:val="00510CAF"/>
    <w:rsid w:val="006D4E64"/>
    <w:rsid w:val="0076295A"/>
    <w:rsid w:val="0077253D"/>
    <w:rsid w:val="00772CDF"/>
    <w:rsid w:val="007D300A"/>
    <w:rsid w:val="00801C53"/>
    <w:rsid w:val="008B5664"/>
    <w:rsid w:val="008F2752"/>
    <w:rsid w:val="0098360D"/>
    <w:rsid w:val="009F365C"/>
    <w:rsid w:val="00A70E7F"/>
    <w:rsid w:val="00AB02F5"/>
    <w:rsid w:val="00AB1E39"/>
    <w:rsid w:val="00AC63ED"/>
    <w:rsid w:val="00BA086B"/>
    <w:rsid w:val="00BF5C67"/>
    <w:rsid w:val="00C40CF3"/>
    <w:rsid w:val="00C948DF"/>
    <w:rsid w:val="00D763A5"/>
    <w:rsid w:val="00D81BAD"/>
    <w:rsid w:val="00E60ACF"/>
    <w:rsid w:val="00EB0CE1"/>
    <w:rsid w:val="00EF705A"/>
    <w:rsid w:val="00F655A4"/>
    <w:rsid w:val="00FD3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УДК"/>
    <w:rsid w:val="0001708C"/>
    <w:pPr>
      <w:spacing w:after="200" w:line="276" w:lineRule="auto"/>
      <w:jc w:val="both"/>
    </w:pPr>
    <w:rPr>
      <w:rFonts w:eastAsiaTheme="minorEastAsia"/>
      <w:lang w:eastAsia="ja-JP"/>
    </w:rPr>
  </w:style>
  <w:style w:type="paragraph" w:styleId="1">
    <w:name w:val="heading 1"/>
    <w:basedOn w:val="a"/>
    <w:next w:val="a"/>
    <w:link w:val="10"/>
    <w:qFormat/>
    <w:rsid w:val="0001708C"/>
    <w:pPr>
      <w:keepNext/>
      <w:spacing w:after="0" w:line="240" w:lineRule="auto"/>
      <w:jc w:val="center"/>
      <w:outlineLvl w:val="0"/>
    </w:pPr>
    <w:rPr>
      <w:rFonts w:ascii="Times New Roman" w:eastAsia="Times New Roman" w:hAnsi="Times New Roman" w:cs="Times New Roman"/>
      <w:b/>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01708C"/>
    <w:rPr>
      <w:rFonts w:ascii="Times New Roman" w:eastAsia="Times New Roman" w:hAnsi="Times New Roman" w:cs="Times New Roman"/>
      <w:b/>
      <w:sz w:val="18"/>
      <w:szCs w:val="20"/>
      <w:lang w:eastAsia="ru-RU"/>
    </w:rPr>
  </w:style>
  <w:style w:type="table" w:styleId="a3">
    <w:name w:val="Table Grid"/>
    <w:aliases w:val="Сетка таблицы формула"/>
    <w:basedOn w:val="a1"/>
    <w:uiPriority w:val="39"/>
    <w:rsid w:val="0001708C"/>
    <w:pPr>
      <w:spacing w:after="0" w:line="240" w:lineRule="auto"/>
      <w:ind w:firstLine="851"/>
      <w:jc w:val="both"/>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УНИВЕР"/>
    <w:basedOn w:val="a"/>
    <w:link w:val="a5"/>
    <w:qFormat/>
    <w:rsid w:val="0001708C"/>
    <w:pPr>
      <w:spacing w:after="0" w:line="240" w:lineRule="auto"/>
      <w:jc w:val="center"/>
    </w:pPr>
    <w:rPr>
      <w:rFonts w:ascii="Times New Roman" w:hAnsi="Times New Roman" w:cs="Times New Roman"/>
      <w:i/>
      <w:sz w:val="18"/>
      <w:szCs w:val="18"/>
      <w:lang w:eastAsia="ru-RU"/>
    </w:rPr>
  </w:style>
  <w:style w:type="paragraph" w:customStyle="1" w:styleId="11">
    <w:name w:val="Стиль1"/>
    <w:next w:val="a"/>
    <w:link w:val="12"/>
    <w:qFormat/>
    <w:rsid w:val="0001708C"/>
    <w:pPr>
      <w:spacing w:after="120" w:line="276" w:lineRule="auto"/>
      <w:jc w:val="center"/>
    </w:pPr>
    <w:rPr>
      <w:rFonts w:ascii="Times New Roman" w:eastAsiaTheme="majorEastAsia" w:hAnsi="Times New Roman" w:cs="Times New Roman"/>
      <w:b/>
      <w:i/>
      <w:sz w:val="18"/>
      <w:szCs w:val="18"/>
      <w:lang w:eastAsia="ja-JP"/>
    </w:rPr>
  </w:style>
  <w:style w:type="character" w:customStyle="1" w:styleId="a5">
    <w:name w:val="УНИВЕР Знак"/>
    <w:basedOn w:val="a0"/>
    <w:link w:val="a4"/>
    <w:rsid w:val="0001708C"/>
    <w:rPr>
      <w:rFonts w:ascii="Times New Roman" w:eastAsiaTheme="minorEastAsia" w:hAnsi="Times New Roman" w:cs="Times New Roman"/>
      <w:i/>
      <w:sz w:val="18"/>
      <w:szCs w:val="18"/>
      <w:lang w:eastAsia="ru-RU"/>
    </w:rPr>
  </w:style>
  <w:style w:type="paragraph" w:styleId="a6">
    <w:name w:val="Normal (Web)"/>
    <w:aliases w:val="Обычный (Web),Стиль мой"/>
    <w:basedOn w:val="a"/>
    <w:uiPriority w:val="99"/>
    <w:unhideWhenUsed/>
    <w:qFormat/>
    <w:rsid w:val="0001708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12">
    <w:name w:val="Стиль1 Знак"/>
    <w:basedOn w:val="a0"/>
    <w:link w:val="11"/>
    <w:rsid w:val="0001708C"/>
    <w:rPr>
      <w:rFonts w:ascii="Times New Roman" w:eastAsiaTheme="majorEastAsia" w:hAnsi="Times New Roman" w:cs="Times New Roman"/>
      <w:b/>
      <w:i/>
      <w:sz w:val="18"/>
      <w:szCs w:val="18"/>
      <w:lang w:eastAsia="ja-JP"/>
    </w:rPr>
  </w:style>
  <w:style w:type="paragraph" w:customStyle="1" w:styleId="a7">
    <w:name w:val="РИСУНКИ"/>
    <w:basedOn w:val="a"/>
    <w:link w:val="a8"/>
    <w:qFormat/>
    <w:rsid w:val="0001708C"/>
    <w:pPr>
      <w:spacing w:after="0" w:line="240" w:lineRule="auto"/>
      <w:jc w:val="center"/>
    </w:pPr>
    <w:rPr>
      <w:rFonts w:ascii="Times New Roman" w:eastAsia="Times New Roman" w:hAnsi="Times New Roman"/>
      <w:sz w:val="16"/>
      <w:szCs w:val="16"/>
      <w:lang w:eastAsia="ru-RU"/>
    </w:rPr>
  </w:style>
  <w:style w:type="character" w:customStyle="1" w:styleId="a8">
    <w:name w:val="РИСУНКИ Знак"/>
    <w:basedOn w:val="a0"/>
    <w:link w:val="a7"/>
    <w:rsid w:val="0001708C"/>
    <w:rPr>
      <w:rFonts w:ascii="Times New Roman" w:eastAsia="Times New Roman" w:hAnsi="Times New Roman"/>
      <w:sz w:val="16"/>
      <w:szCs w:val="16"/>
      <w:lang w:eastAsia="ru-RU"/>
    </w:rPr>
  </w:style>
  <w:style w:type="paragraph" w:styleId="a9">
    <w:name w:val="List Paragraph"/>
    <w:basedOn w:val="a"/>
    <w:uiPriority w:val="34"/>
    <w:qFormat/>
    <w:rsid w:val="00A70E7F"/>
    <w:pPr>
      <w:ind w:left="720"/>
      <w:contextualSpacing/>
    </w:pPr>
  </w:style>
</w:styles>
</file>

<file path=word/webSettings.xml><?xml version="1.0" encoding="utf-8"?>
<w:webSettings xmlns:r="http://schemas.openxmlformats.org/officeDocument/2006/relationships" xmlns:w="http://schemas.openxmlformats.org/wordprocessingml/2006/main">
  <w:divs>
    <w:div w:id="143428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381</Words>
  <Characters>2599</Characters>
  <Application>Microsoft Office Word</Application>
  <DocSecurity>0</DocSecurity>
  <Lines>44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Ansys</cp:lastModifiedBy>
  <cp:revision>3</cp:revision>
  <dcterms:created xsi:type="dcterms:W3CDTF">2019-04-03T20:53:00Z</dcterms:created>
  <dcterms:modified xsi:type="dcterms:W3CDTF">2019-04-03T20:56:00Z</dcterms:modified>
</cp:coreProperties>
</file>