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1"/>
        <w:gridCol w:w="8141"/>
      </w:tblGrid>
      <w:tr w:rsidR="00F57DFD" w:rsidRPr="00372C1B" w:rsidTr="005F395F">
        <w:trPr>
          <w:cantSplit/>
          <w:trHeight w:val="265"/>
        </w:trPr>
        <w:tc>
          <w:tcPr>
            <w:tcW w:w="1201" w:type="dxa"/>
            <w:vMerge w:val="restart"/>
          </w:tcPr>
          <w:p w:rsidR="00F57DFD" w:rsidRPr="00372C1B" w:rsidRDefault="00F57DFD" w:rsidP="005F395F">
            <w:pPr>
              <w:spacing w:after="0"/>
              <w:jc w:val="center"/>
              <w:rPr>
                <w:i/>
              </w:rPr>
            </w:pPr>
            <w:r w:rsidRPr="00372C1B">
              <w:rPr>
                <w:rFonts w:cs="Times New Roman"/>
              </w:rPr>
              <w:br w:type="page"/>
            </w:r>
            <w:bookmarkStart w:id="0" w:name="_Toc119910692"/>
            <w:r w:rsidRPr="00372C1B">
              <w:rPr>
                <w:i/>
                <w:noProof/>
                <w:lang w:eastAsia="ru-RU"/>
              </w:rPr>
              <w:drawing>
                <wp:inline distT="0" distB="0" distL="0" distR="0" wp14:anchorId="00E618BB" wp14:editId="164F6D4B">
                  <wp:extent cx="580232" cy="819150"/>
                  <wp:effectExtent l="19050" t="0" r="0" b="0"/>
                  <wp:docPr id="1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1" w:type="dxa"/>
            <w:vAlign w:val="center"/>
          </w:tcPr>
          <w:p w:rsidR="00F57DFD" w:rsidRPr="00372C1B" w:rsidRDefault="00F57DFD" w:rsidP="005F395F">
            <w:pPr>
              <w:spacing w:after="0"/>
              <w:jc w:val="center"/>
              <w:rPr>
                <w:sz w:val="18"/>
              </w:rPr>
            </w:pPr>
            <w:r w:rsidRPr="00372C1B">
              <w:rPr>
                <w:sz w:val="18"/>
              </w:rPr>
              <w:t>МИНОБРНАУКИ РОССИИ</w:t>
            </w:r>
          </w:p>
          <w:p w:rsidR="00F57DFD" w:rsidRPr="00372C1B" w:rsidRDefault="00F57DFD" w:rsidP="005F395F">
            <w:pPr>
              <w:spacing w:after="0"/>
              <w:jc w:val="center"/>
              <w:rPr>
                <w:sz w:val="18"/>
                <w:szCs w:val="20"/>
              </w:rPr>
            </w:pPr>
            <w:r w:rsidRPr="00372C1B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F57DFD" w:rsidRPr="00372C1B" w:rsidRDefault="00F57DFD" w:rsidP="005F395F">
            <w:pPr>
              <w:spacing w:after="0"/>
              <w:jc w:val="center"/>
              <w:rPr>
                <w:sz w:val="18"/>
                <w:szCs w:val="20"/>
              </w:rPr>
            </w:pPr>
            <w:r w:rsidRPr="00372C1B">
              <w:rPr>
                <w:sz w:val="18"/>
                <w:szCs w:val="20"/>
              </w:rPr>
              <w:t>высшего профессионального образования</w:t>
            </w:r>
          </w:p>
          <w:p w:rsidR="00F57DFD" w:rsidRPr="00372C1B" w:rsidRDefault="00F57DFD" w:rsidP="005F395F">
            <w:pPr>
              <w:spacing w:after="0"/>
              <w:jc w:val="center"/>
              <w:rPr>
                <w:b/>
                <w:sz w:val="18"/>
                <w:szCs w:val="20"/>
              </w:rPr>
            </w:pPr>
            <w:r w:rsidRPr="00372C1B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F57DFD" w:rsidRPr="00372C1B" w:rsidRDefault="00F57DFD" w:rsidP="005F395F">
            <w:pPr>
              <w:spacing w:after="0"/>
              <w:jc w:val="center"/>
              <w:rPr>
                <w:b/>
              </w:rPr>
            </w:pPr>
            <w:r w:rsidRPr="00372C1B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F57DFD" w:rsidRPr="00372C1B" w:rsidTr="005F395F">
        <w:trPr>
          <w:cantSplit/>
          <w:trHeight w:val="264"/>
        </w:trPr>
        <w:tc>
          <w:tcPr>
            <w:tcW w:w="1201" w:type="dxa"/>
            <w:vMerge/>
          </w:tcPr>
          <w:p w:rsidR="00F57DFD" w:rsidRPr="00372C1B" w:rsidRDefault="00F57DFD" w:rsidP="005F395F">
            <w:pPr>
              <w:spacing w:after="0"/>
              <w:jc w:val="center"/>
              <w:rPr>
                <w:i/>
                <w:noProof/>
              </w:rPr>
            </w:pPr>
          </w:p>
        </w:tc>
        <w:tc>
          <w:tcPr>
            <w:tcW w:w="8141" w:type="dxa"/>
            <w:vAlign w:val="center"/>
          </w:tcPr>
          <w:p w:rsidR="00F57DFD" w:rsidRPr="00372C1B" w:rsidRDefault="00F57DFD" w:rsidP="005F395F">
            <w:pPr>
              <w:spacing w:after="0"/>
              <w:jc w:val="center"/>
              <w:rPr>
                <w:szCs w:val="21"/>
              </w:rPr>
            </w:pPr>
            <w:r w:rsidRPr="00372C1B">
              <w:rPr>
                <w:szCs w:val="21"/>
              </w:rPr>
              <w:t>БГТУ</w:t>
            </w:r>
            <w:proofErr w:type="gramStart"/>
            <w:r w:rsidRPr="00372C1B">
              <w:rPr>
                <w:szCs w:val="21"/>
              </w:rPr>
              <w:t>.С</w:t>
            </w:r>
            <w:proofErr w:type="gramEnd"/>
            <w:r w:rsidRPr="00372C1B">
              <w:rPr>
                <w:szCs w:val="21"/>
              </w:rPr>
              <w:t>МК-Ф-4.2-К5-01</w:t>
            </w:r>
          </w:p>
        </w:tc>
      </w:tr>
    </w:tbl>
    <w:tbl>
      <w:tblPr>
        <w:tblStyle w:val="af4"/>
        <w:tblW w:w="9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0"/>
        <w:gridCol w:w="261"/>
        <w:gridCol w:w="284"/>
        <w:gridCol w:w="546"/>
        <w:gridCol w:w="282"/>
        <w:gridCol w:w="282"/>
        <w:gridCol w:w="6113"/>
      </w:tblGrid>
      <w:tr w:rsidR="00F57DFD" w:rsidRPr="00372C1B" w:rsidTr="005F395F">
        <w:trPr>
          <w:trHeight w:val="378"/>
        </w:trPr>
        <w:tc>
          <w:tcPr>
            <w:tcW w:w="1720" w:type="dxa"/>
            <w:vAlign w:val="bottom"/>
          </w:tcPr>
          <w:p w:rsidR="00F57DFD" w:rsidRPr="00372C1B" w:rsidRDefault="00F57DFD" w:rsidP="005F395F">
            <w:pPr>
              <w:spacing w:after="0"/>
            </w:pPr>
          </w:p>
          <w:p w:rsidR="00F57DFD" w:rsidRPr="00372C1B" w:rsidRDefault="00F57DFD" w:rsidP="005F395F">
            <w:pPr>
              <w:spacing w:after="0"/>
            </w:pPr>
            <w:r w:rsidRPr="00372C1B">
              <w:t>Факультет</w:t>
            </w:r>
          </w:p>
        </w:tc>
        <w:tc>
          <w:tcPr>
            <w:tcW w:w="261" w:type="dxa"/>
            <w:vAlign w:val="bottom"/>
          </w:tcPr>
          <w:p w:rsidR="00F57DFD" w:rsidRPr="00372C1B" w:rsidRDefault="00F57DFD" w:rsidP="005F395F">
            <w:pPr>
              <w:spacing w:after="0"/>
              <w:ind w:left="-125" w:right="-250"/>
              <w:rPr>
                <w:sz w:val="16"/>
              </w:rPr>
            </w:pP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  <w:vAlign w:val="bottom"/>
          </w:tcPr>
          <w:p w:rsidR="00F57DFD" w:rsidRPr="00372C1B" w:rsidRDefault="00F57DFD" w:rsidP="005F395F">
            <w:pPr>
              <w:spacing w:after="0"/>
            </w:pPr>
            <w:r>
              <w:t>И</w:t>
            </w:r>
          </w:p>
        </w:tc>
        <w:tc>
          <w:tcPr>
            <w:tcW w:w="282" w:type="dxa"/>
          </w:tcPr>
          <w:p w:rsidR="00F57DFD" w:rsidRPr="00372C1B" w:rsidRDefault="00F57DFD" w:rsidP="005F395F">
            <w:pPr>
              <w:spacing w:after="0"/>
              <w:rPr>
                <w:sz w:val="14"/>
              </w:rPr>
            </w:pPr>
          </w:p>
        </w:tc>
        <w:tc>
          <w:tcPr>
            <w:tcW w:w="282" w:type="dxa"/>
            <w:vAlign w:val="bottom"/>
          </w:tcPr>
          <w:p w:rsidR="00F57DFD" w:rsidRPr="00372C1B" w:rsidRDefault="00F57DFD" w:rsidP="005F395F">
            <w:pPr>
              <w:spacing w:after="0"/>
              <w:rPr>
                <w:sz w:val="14"/>
              </w:rPr>
            </w:pPr>
          </w:p>
        </w:tc>
        <w:tc>
          <w:tcPr>
            <w:tcW w:w="6113" w:type="dxa"/>
            <w:tcBorders>
              <w:bottom w:val="single" w:sz="4" w:space="0" w:color="auto"/>
            </w:tcBorders>
            <w:vAlign w:val="bottom"/>
          </w:tcPr>
          <w:p w:rsidR="00F57DFD" w:rsidRPr="00372C1B" w:rsidRDefault="00F57DFD" w:rsidP="005F395F">
            <w:pPr>
              <w:spacing w:after="0"/>
              <w:ind w:right="-158"/>
            </w:pPr>
            <w:r>
              <w:rPr>
                <w:sz w:val="26"/>
                <w:szCs w:val="26"/>
              </w:rPr>
              <w:t>Информационные и управляющие системы</w:t>
            </w:r>
          </w:p>
        </w:tc>
      </w:tr>
      <w:tr w:rsidR="00F57DFD" w:rsidRPr="00372C1B" w:rsidTr="005F395F">
        <w:trPr>
          <w:trHeight w:val="132"/>
        </w:trPr>
        <w:tc>
          <w:tcPr>
            <w:tcW w:w="1720" w:type="dxa"/>
            <w:vAlign w:val="bottom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</w:p>
        </w:tc>
        <w:tc>
          <w:tcPr>
            <w:tcW w:w="261" w:type="dxa"/>
            <w:vAlign w:val="bottom"/>
          </w:tcPr>
          <w:p w:rsidR="00F57DFD" w:rsidRPr="00372C1B" w:rsidRDefault="00F57DFD" w:rsidP="005F395F">
            <w:pPr>
              <w:spacing w:after="0"/>
              <w:ind w:left="-125" w:right="-250"/>
              <w:rPr>
                <w:sz w:val="16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</w:tcBorders>
            <w:vAlign w:val="bottom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  <w:r w:rsidRPr="00372C1B">
              <w:rPr>
                <w:sz w:val="16"/>
              </w:rPr>
              <w:t>шифр</w:t>
            </w:r>
          </w:p>
        </w:tc>
        <w:tc>
          <w:tcPr>
            <w:tcW w:w="282" w:type="dxa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</w:p>
        </w:tc>
        <w:tc>
          <w:tcPr>
            <w:tcW w:w="282" w:type="dxa"/>
            <w:vAlign w:val="bottom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</w:p>
        </w:tc>
        <w:tc>
          <w:tcPr>
            <w:tcW w:w="6113" w:type="dxa"/>
            <w:tcBorders>
              <w:top w:val="single" w:sz="4" w:space="0" w:color="auto"/>
            </w:tcBorders>
            <w:vAlign w:val="bottom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  <w:r w:rsidRPr="00372C1B">
              <w:rPr>
                <w:sz w:val="16"/>
              </w:rPr>
              <w:t>наименование</w:t>
            </w:r>
          </w:p>
        </w:tc>
      </w:tr>
      <w:tr w:rsidR="00F57DFD" w:rsidRPr="00372C1B" w:rsidTr="005F395F">
        <w:trPr>
          <w:trHeight w:val="145"/>
        </w:trPr>
        <w:tc>
          <w:tcPr>
            <w:tcW w:w="1720" w:type="dxa"/>
            <w:vAlign w:val="bottom"/>
          </w:tcPr>
          <w:p w:rsidR="00F57DFD" w:rsidRPr="00372C1B" w:rsidRDefault="00F57DFD" w:rsidP="005F395F">
            <w:pPr>
              <w:spacing w:after="0"/>
            </w:pPr>
            <w:r w:rsidRPr="00372C1B">
              <w:t>Кафедра</w:t>
            </w:r>
          </w:p>
        </w:tc>
        <w:tc>
          <w:tcPr>
            <w:tcW w:w="261" w:type="dxa"/>
            <w:vAlign w:val="bottom"/>
          </w:tcPr>
          <w:p w:rsidR="00F57DFD" w:rsidRPr="00372C1B" w:rsidRDefault="00F57DFD" w:rsidP="005F395F">
            <w:pPr>
              <w:spacing w:after="0"/>
              <w:ind w:left="-125" w:right="-250"/>
              <w:rPr>
                <w:sz w:val="16"/>
              </w:rPr>
            </w:pP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  <w:vAlign w:val="bottom"/>
          </w:tcPr>
          <w:p w:rsidR="00F57DFD" w:rsidRPr="00372C1B" w:rsidRDefault="00F57DFD" w:rsidP="005F395F">
            <w:pPr>
              <w:spacing w:after="0"/>
            </w:pPr>
            <w:r>
              <w:t>И</w:t>
            </w:r>
            <w:proofErr w:type="gramStart"/>
            <w:r>
              <w:t>9</w:t>
            </w:r>
            <w:proofErr w:type="gramEnd"/>
          </w:p>
        </w:tc>
        <w:tc>
          <w:tcPr>
            <w:tcW w:w="282" w:type="dxa"/>
          </w:tcPr>
          <w:p w:rsidR="00F57DFD" w:rsidRPr="00372C1B" w:rsidRDefault="00F57DFD" w:rsidP="005F395F">
            <w:pPr>
              <w:spacing w:after="0"/>
              <w:rPr>
                <w:sz w:val="14"/>
              </w:rPr>
            </w:pPr>
          </w:p>
        </w:tc>
        <w:tc>
          <w:tcPr>
            <w:tcW w:w="282" w:type="dxa"/>
            <w:vAlign w:val="bottom"/>
          </w:tcPr>
          <w:p w:rsidR="00F57DFD" w:rsidRPr="00372C1B" w:rsidRDefault="00F57DFD" w:rsidP="005F395F">
            <w:pPr>
              <w:spacing w:after="0"/>
              <w:rPr>
                <w:sz w:val="14"/>
              </w:rPr>
            </w:pPr>
          </w:p>
        </w:tc>
        <w:tc>
          <w:tcPr>
            <w:tcW w:w="6113" w:type="dxa"/>
            <w:tcBorders>
              <w:bottom w:val="single" w:sz="4" w:space="0" w:color="auto"/>
            </w:tcBorders>
            <w:vAlign w:val="bottom"/>
          </w:tcPr>
          <w:p w:rsidR="00F57DFD" w:rsidRPr="00372C1B" w:rsidRDefault="00F57DFD" w:rsidP="005F395F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Систем управления и компьютерных технологий</w:t>
            </w:r>
          </w:p>
        </w:tc>
      </w:tr>
      <w:tr w:rsidR="00F57DFD" w:rsidRPr="00372C1B" w:rsidTr="005F395F">
        <w:trPr>
          <w:trHeight w:val="149"/>
        </w:trPr>
        <w:tc>
          <w:tcPr>
            <w:tcW w:w="1720" w:type="dxa"/>
            <w:vAlign w:val="bottom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</w:p>
        </w:tc>
        <w:tc>
          <w:tcPr>
            <w:tcW w:w="261" w:type="dxa"/>
            <w:vAlign w:val="bottom"/>
          </w:tcPr>
          <w:p w:rsidR="00F57DFD" w:rsidRPr="00372C1B" w:rsidRDefault="00F57DFD" w:rsidP="005F395F">
            <w:pPr>
              <w:spacing w:after="0"/>
              <w:ind w:left="-125" w:right="-250"/>
              <w:rPr>
                <w:sz w:val="16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</w:tcBorders>
            <w:vAlign w:val="bottom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  <w:r w:rsidRPr="00372C1B">
              <w:rPr>
                <w:sz w:val="16"/>
              </w:rPr>
              <w:t>шифр</w:t>
            </w:r>
          </w:p>
        </w:tc>
        <w:tc>
          <w:tcPr>
            <w:tcW w:w="282" w:type="dxa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</w:p>
        </w:tc>
        <w:tc>
          <w:tcPr>
            <w:tcW w:w="282" w:type="dxa"/>
            <w:vAlign w:val="bottom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</w:p>
        </w:tc>
        <w:tc>
          <w:tcPr>
            <w:tcW w:w="6113" w:type="dxa"/>
            <w:tcBorders>
              <w:top w:val="single" w:sz="4" w:space="0" w:color="auto"/>
            </w:tcBorders>
            <w:vAlign w:val="bottom"/>
          </w:tcPr>
          <w:p w:rsidR="00F57DFD" w:rsidRPr="00372C1B" w:rsidRDefault="00F57DFD" w:rsidP="005F395F">
            <w:pPr>
              <w:spacing w:after="0"/>
              <w:rPr>
                <w:sz w:val="16"/>
              </w:rPr>
            </w:pPr>
            <w:r w:rsidRPr="00372C1B">
              <w:rPr>
                <w:sz w:val="16"/>
              </w:rPr>
              <w:t>наименование</w:t>
            </w:r>
          </w:p>
        </w:tc>
      </w:tr>
      <w:tr w:rsidR="00F57DFD" w:rsidRPr="00372C1B" w:rsidTr="005F395F">
        <w:trPr>
          <w:trHeight w:val="152"/>
        </w:trPr>
        <w:tc>
          <w:tcPr>
            <w:tcW w:w="1720" w:type="dxa"/>
            <w:vAlign w:val="bottom"/>
          </w:tcPr>
          <w:p w:rsidR="00F57DFD" w:rsidRPr="00372C1B" w:rsidRDefault="00F57DFD" w:rsidP="005F395F">
            <w:pPr>
              <w:spacing w:after="0"/>
            </w:pPr>
          </w:p>
        </w:tc>
        <w:tc>
          <w:tcPr>
            <w:tcW w:w="261" w:type="dxa"/>
            <w:vAlign w:val="bottom"/>
          </w:tcPr>
          <w:p w:rsidR="00F57DFD" w:rsidRPr="00372C1B" w:rsidRDefault="00F57DFD" w:rsidP="005F395F">
            <w:pPr>
              <w:spacing w:after="0"/>
              <w:ind w:left="-125" w:right="-250"/>
              <w:rPr>
                <w:sz w:val="16"/>
              </w:rPr>
            </w:pPr>
          </w:p>
        </w:tc>
        <w:tc>
          <w:tcPr>
            <w:tcW w:w="284" w:type="dxa"/>
          </w:tcPr>
          <w:p w:rsidR="00F57DFD" w:rsidRPr="00372C1B" w:rsidRDefault="00F57DFD" w:rsidP="005F395F">
            <w:pPr>
              <w:spacing w:after="0"/>
            </w:pPr>
          </w:p>
        </w:tc>
        <w:tc>
          <w:tcPr>
            <w:tcW w:w="7223" w:type="dxa"/>
            <w:gridSpan w:val="4"/>
            <w:tcBorders>
              <w:bottom w:val="single" w:sz="4" w:space="0" w:color="auto"/>
            </w:tcBorders>
            <w:vAlign w:val="bottom"/>
          </w:tcPr>
          <w:p w:rsidR="00F57DFD" w:rsidRPr="003C553D" w:rsidRDefault="00F57DFD" w:rsidP="005F395F">
            <w:pPr>
              <w:spacing w:after="0"/>
              <w:rPr>
                <w:spacing w:val="-8"/>
                <w:sz w:val="26"/>
                <w:szCs w:val="26"/>
              </w:rPr>
            </w:pPr>
          </w:p>
        </w:tc>
      </w:tr>
    </w:tbl>
    <w:p w:rsidR="00F57DFD" w:rsidRPr="00372C1B" w:rsidRDefault="00F57DFD" w:rsidP="00F57DFD">
      <w:pPr>
        <w:spacing w:after="0" w:line="360" w:lineRule="auto"/>
      </w:pPr>
    </w:p>
    <w:p w:rsidR="00F57DFD" w:rsidRPr="00372C1B" w:rsidRDefault="00F57DFD" w:rsidP="00F57DFD">
      <w:pPr>
        <w:spacing w:after="0"/>
        <w:jc w:val="center"/>
      </w:pPr>
    </w:p>
    <w:p w:rsidR="00F57DFD" w:rsidRPr="00372C1B" w:rsidRDefault="00F57DFD" w:rsidP="00F57DFD">
      <w:pPr>
        <w:spacing w:after="0"/>
        <w:jc w:val="center"/>
      </w:pPr>
    </w:p>
    <w:p w:rsidR="00F57DFD" w:rsidRPr="00372C1B" w:rsidRDefault="00F57DFD" w:rsidP="00F57DFD">
      <w:pPr>
        <w:spacing w:after="0"/>
        <w:jc w:val="center"/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57DFD" w:rsidRPr="00372C1B" w:rsidTr="005F395F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DFD" w:rsidRPr="00372C1B" w:rsidRDefault="00F57DFD" w:rsidP="005F395F">
            <w:pPr>
              <w:spacing w:after="0"/>
              <w:jc w:val="center"/>
              <w:rPr>
                <w:sz w:val="40"/>
              </w:rPr>
            </w:pPr>
            <w:r>
              <w:rPr>
                <w:sz w:val="40"/>
              </w:rPr>
              <w:t>ОТЧЕТ</w:t>
            </w:r>
          </w:p>
          <w:p w:rsidR="00F57DFD" w:rsidRPr="00372C1B" w:rsidRDefault="00F57DFD" w:rsidP="005F395F">
            <w:pPr>
              <w:spacing w:after="0"/>
              <w:jc w:val="center"/>
              <w:rPr>
                <w:sz w:val="40"/>
              </w:rPr>
            </w:pPr>
          </w:p>
        </w:tc>
      </w:tr>
      <w:tr w:rsidR="00F57DFD" w:rsidRPr="00372C1B" w:rsidTr="005F395F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DFD" w:rsidRPr="00372C1B" w:rsidRDefault="00F57DFD" w:rsidP="00F57DFD">
            <w:pPr>
              <w:spacing w:after="0" w:line="240" w:lineRule="auto"/>
              <w:ind w:firstLine="709"/>
              <w:jc w:val="center"/>
              <w:textAlignment w:val="baseline"/>
              <w:rPr>
                <w:rFonts w:eastAsia="Calibri" w:cs="Times New Roman"/>
                <w:sz w:val="36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 xml:space="preserve">ИССЛЕДОВАНИЕ </w:t>
            </w:r>
            <w:r w:rsidRPr="008620CA"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>проблем</w:t>
            </w: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 xml:space="preserve"> обеспечения</w:t>
            </w:r>
            <w:r w:rsidRPr="008620CA"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 xml:space="preserve"> </w:t>
            </w:r>
            <w:proofErr w:type="gramStart"/>
            <w:r w:rsidRPr="008620CA"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>информационной</w:t>
            </w:r>
            <w:proofErr w:type="gramEnd"/>
            <w:r w:rsidRPr="008620CA"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 xml:space="preserve"> </w:t>
            </w:r>
          </w:p>
        </w:tc>
      </w:tr>
      <w:tr w:rsidR="00F57DFD" w:rsidRPr="00372C1B" w:rsidTr="005F395F">
        <w:tc>
          <w:tcPr>
            <w:tcW w:w="9571" w:type="dxa"/>
            <w:tcBorders>
              <w:left w:val="nil"/>
              <w:right w:val="nil"/>
            </w:tcBorders>
          </w:tcPr>
          <w:p w:rsidR="00F57DFD" w:rsidRPr="00C35348" w:rsidRDefault="00F57DFD" w:rsidP="005F395F">
            <w:pPr>
              <w:spacing w:after="0" w:line="240" w:lineRule="auto"/>
              <w:jc w:val="center"/>
              <w:rPr>
                <w:rFonts w:eastAsia="Calibri" w:cs="Times New Roman"/>
                <w:sz w:val="36"/>
                <w:szCs w:val="32"/>
              </w:rPr>
            </w:pPr>
            <w:r w:rsidRPr="008620CA"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 xml:space="preserve">безопасности в сфере банковской деятельности на примере </w:t>
            </w: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>УСЛУГ</w:t>
            </w:r>
          </w:p>
        </w:tc>
      </w:tr>
      <w:tr w:rsidR="00F57DFD" w:rsidRPr="00372C1B" w:rsidTr="005F395F">
        <w:tc>
          <w:tcPr>
            <w:tcW w:w="9571" w:type="dxa"/>
            <w:tcBorders>
              <w:left w:val="nil"/>
              <w:right w:val="nil"/>
            </w:tcBorders>
          </w:tcPr>
          <w:p w:rsidR="00F57DFD" w:rsidRPr="008620CA" w:rsidRDefault="00F57DFD" w:rsidP="00F57DFD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</w:pPr>
            <w:r w:rsidRPr="008620CA"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>дистанционного банковск</w:t>
            </w: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  <w:t>ого обслуживания</w:t>
            </w:r>
          </w:p>
        </w:tc>
      </w:tr>
    </w:tbl>
    <w:p w:rsidR="00F57DFD" w:rsidRPr="00372C1B" w:rsidRDefault="00F57DFD" w:rsidP="00F57DFD">
      <w:pPr>
        <w:spacing w:after="0"/>
        <w:jc w:val="center"/>
        <w:rPr>
          <w:sz w:val="40"/>
        </w:rPr>
      </w:pPr>
    </w:p>
    <w:p w:rsidR="00F57DFD" w:rsidRPr="00372C1B" w:rsidRDefault="00F57DFD" w:rsidP="00F57DFD">
      <w:pPr>
        <w:spacing w:after="0"/>
        <w:jc w:val="center"/>
        <w:rPr>
          <w:szCs w:val="28"/>
        </w:rPr>
      </w:pPr>
    </w:p>
    <w:p w:rsidR="00F57DFD" w:rsidRPr="00372C1B" w:rsidRDefault="00F57DFD" w:rsidP="00F57DFD">
      <w:pPr>
        <w:spacing w:after="0"/>
        <w:jc w:val="center"/>
        <w:rPr>
          <w:sz w:val="32"/>
          <w:szCs w:val="28"/>
        </w:rPr>
      </w:pPr>
    </w:p>
    <w:p w:rsidR="00F57DFD" w:rsidRPr="00372C1B" w:rsidRDefault="00F57DFD" w:rsidP="00F57DFD">
      <w:pPr>
        <w:spacing w:after="0"/>
        <w:rPr>
          <w:sz w:val="32"/>
          <w:szCs w:val="28"/>
        </w:rPr>
      </w:pPr>
    </w:p>
    <w:tbl>
      <w:tblPr>
        <w:tblStyle w:val="af4"/>
        <w:tblW w:w="5348" w:type="dxa"/>
        <w:tblInd w:w="4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F57DFD" w:rsidRPr="00372C1B" w:rsidTr="005F395F">
        <w:tc>
          <w:tcPr>
            <w:tcW w:w="3544" w:type="dxa"/>
            <w:gridSpan w:val="4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  <w:r w:rsidRPr="00372C1B"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  <w:r w:rsidRPr="00372C1B">
              <w:t>И9М31</w:t>
            </w:r>
          </w:p>
        </w:tc>
      </w:tr>
      <w:tr w:rsidR="00F57DFD" w:rsidRPr="00372C1B" w:rsidTr="005F395F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  <w:jc w:val="center"/>
            </w:pPr>
          </w:p>
          <w:p w:rsidR="00F57DFD" w:rsidRPr="00372C1B" w:rsidRDefault="00F57DFD" w:rsidP="005F395F">
            <w:pPr>
              <w:tabs>
                <w:tab w:val="left" w:pos="5670"/>
              </w:tabs>
              <w:spacing w:after="0"/>
              <w:jc w:val="center"/>
            </w:pPr>
            <w:proofErr w:type="spellStart"/>
            <w:r>
              <w:t>Загута</w:t>
            </w:r>
            <w:proofErr w:type="spellEnd"/>
            <w:r w:rsidRPr="00372C1B">
              <w:t xml:space="preserve"> </w:t>
            </w:r>
            <w:r>
              <w:t>Д</w:t>
            </w:r>
            <w:r w:rsidRPr="00372C1B">
              <w:t>.В.</w:t>
            </w:r>
          </w:p>
        </w:tc>
      </w:tr>
      <w:tr w:rsidR="00F57DFD" w:rsidRPr="00372C1B" w:rsidTr="005F395F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  <w:jc w:val="center"/>
              <w:rPr>
                <w:vertAlign w:val="superscript"/>
              </w:rPr>
            </w:pPr>
            <w:r w:rsidRPr="00372C1B">
              <w:rPr>
                <w:vertAlign w:val="superscript"/>
              </w:rPr>
              <w:t>Фамилия И.О.</w:t>
            </w:r>
          </w:p>
        </w:tc>
      </w:tr>
      <w:tr w:rsidR="00F57DFD" w:rsidRPr="00372C1B" w:rsidTr="005F395F">
        <w:tc>
          <w:tcPr>
            <w:tcW w:w="5348" w:type="dxa"/>
            <w:gridSpan w:val="7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  <w:jc w:val="center"/>
            </w:pPr>
            <w:r w:rsidRPr="00372C1B">
              <w:rPr>
                <w:b/>
              </w:rPr>
              <w:t>РУКОВОДИТЕЛЬ</w:t>
            </w:r>
          </w:p>
        </w:tc>
      </w:tr>
      <w:tr w:rsidR="00F57DFD" w:rsidRPr="00372C1B" w:rsidTr="005F395F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</w:p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  <w:r>
              <w:t>Романов Л.С.</w:t>
            </w:r>
          </w:p>
        </w:tc>
        <w:tc>
          <w:tcPr>
            <w:tcW w:w="425" w:type="dxa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</w:p>
        </w:tc>
      </w:tr>
      <w:tr w:rsidR="00F57DFD" w:rsidRPr="00372C1B" w:rsidTr="005F395F">
        <w:tc>
          <w:tcPr>
            <w:tcW w:w="5348" w:type="dxa"/>
            <w:gridSpan w:val="7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  <w:jc w:val="both"/>
              <w:rPr>
                <w:vertAlign w:val="superscript"/>
              </w:rPr>
            </w:pPr>
            <w:r w:rsidRPr="00372C1B"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F57DFD" w:rsidRPr="00372C1B" w:rsidTr="005F395F">
        <w:tc>
          <w:tcPr>
            <w:tcW w:w="1276" w:type="dxa"/>
            <w:vAlign w:val="bottom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  <w:r w:rsidRPr="00372C1B"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</w:p>
        </w:tc>
      </w:tr>
      <w:tr w:rsidR="00F57DFD" w:rsidRPr="00372C1B" w:rsidTr="005F395F">
        <w:trPr>
          <w:trHeight w:val="446"/>
        </w:trPr>
        <w:tc>
          <w:tcPr>
            <w:tcW w:w="1276" w:type="dxa"/>
            <w:vAlign w:val="bottom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  <w:r w:rsidRPr="00372C1B"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F57DFD" w:rsidRPr="00372C1B" w:rsidRDefault="00F57DFD" w:rsidP="005F395F">
            <w:pPr>
              <w:tabs>
                <w:tab w:val="left" w:pos="5670"/>
              </w:tabs>
              <w:spacing w:after="0"/>
            </w:pPr>
            <w:r w:rsidRPr="00372C1B">
              <w:t>2018  г.</w:t>
            </w:r>
          </w:p>
        </w:tc>
      </w:tr>
    </w:tbl>
    <w:p w:rsidR="00F57DFD" w:rsidRPr="00372C1B" w:rsidRDefault="00F57DFD" w:rsidP="00F57DFD">
      <w:pPr>
        <w:tabs>
          <w:tab w:val="left" w:pos="5670"/>
        </w:tabs>
        <w:spacing w:after="0"/>
        <w:ind w:left="5387"/>
        <w:rPr>
          <w:sz w:val="36"/>
          <w:szCs w:val="28"/>
        </w:rPr>
      </w:pPr>
    </w:p>
    <w:p w:rsidR="00F57DFD" w:rsidRPr="00372C1B" w:rsidRDefault="00F57DFD" w:rsidP="00F57DFD">
      <w:pPr>
        <w:tabs>
          <w:tab w:val="left" w:pos="5670"/>
        </w:tabs>
        <w:spacing w:after="0"/>
        <w:ind w:left="5387"/>
        <w:rPr>
          <w:sz w:val="36"/>
          <w:szCs w:val="28"/>
        </w:rPr>
      </w:pPr>
    </w:p>
    <w:p w:rsidR="00F57DFD" w:rsidRDefault="00F57DFD" w:rsidP="00F57DFD">
      <w:pPr>
        <w:tabs>
          <w:tab w:val="left" w:pos="5670"/>
        </w:tabs>
        <w:spacing w:after="0"/>
        <w:ind w:left="5387"/>
        <w:rPr>
          <w:sz w:val="36"/>
          <w:szCs w:val="28"/>
        </w:rPr>
      </w:pPr>
    </w:p>
    <w:p w:rsidR="00D8485C" w:rsidRPr="00372C1B" w:rsidRDefault="00D8485C" w:rsidP="00F57DFD">
      <w:pPr>
        <w:tabs>
          <w:tab w:val="left" w:pos="5670"/>
        </w:tabs>
        <w:spacing w:after="0"/>
        <w:ind w:left="5387"/>
        <w:rPr>
          <w:sz w:val="36"/>
          <w:szCs w:val="28"/>
        </w:rPr>
      </w:pPr>
    </w:p>
    <w:p w:rsidR="00F57DFD" w:rsidRPr="00372C1B" w:rsidRDefault="00F57DFD" w:rsidP="00F57DFD">
      <w:pPr>
        <w:spacing w:after="0"/>
        <w:jc w:val="center"/>
        <w:rPr>
          <w:szCs w:val="28"/>
        </w:rPr>
      </w:pPr>
      <w:r w:rsidRPr="00372C1B">
        <w:rPr>
          <w:szCs w:val="28"/>
        </w:rPr>
        <w:t>САНКТ-ПЕТЕРБУРГ</w:t>
      </w:r>
    </w:p>
    <w:p w:rsidR="00F57DFD" w:rsidRPr="00372C1B" w:rsidRDefault="00F57DFD" w:rsidP="00F57DFD">
      <w:pPr>
        <w:spacing w:after="0"/>
        <w:jc w:val="center"/>
      </w:pPr>
      <w:r w:rsidRPr="00372C1B">
        <w:rPr>
          <w:szCs w:val="28"/>
        </w:rPr>
        <w:t>2018 г.</w:t>
      </w:r>
      <w:bookmarkEnd w:id="0"/>
    </w:p>
    <w:p w:rsidR="003C7A52" w:rsidRDefault="003C7A52" w:rsidP="00D91967">
      <w:pPr>
        <w:pStyle w:val="zdv"/>
        <w:sectPr w:rsidR="003C7A52" w:rsidSect="003C7A52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B6654" w:rsidRPr="00B7540D" w:rsidRDefault="00DB6654" w:rsidP="00DB6654">
      <w:pPr>
        <w:jc w:val="center"/>
        <w:rPr>
          <w:b/>
          <w:sz w:val="36"/>
        </w:rPr>
      </w:pPr>
      <w:r w:rsidRPr="00B7540D">
        <w:rPr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553279098"/>
        <w:docPartObj>
          <w:docPartGallery w:val="Table of Contents"/>
          <w:docPartUnique/>
        </w:docPartObj>
      </w:sdtPr>
      <w:sdtEndPr/>
      <w:sdtContent>
        <w:p w:rsidR="009C5584" w:rsidRDefault="009C5584">
          <w:pPr>
            <w:pStyle w:val="af5"/>
          </w:pPr>
        </w:p>
        <w:p w:rsidR="009D6A5F" w:rsidRDefault="009C5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51442" w:history="1">
            <w:r w:rsidR="009D6A5F" w:rsidRPr="00BC1E27">
              <w:rPr>
                <w:rStyle w:val="a5"/>
                <w:noProof/>
              </w:rPr>
              <w:t>ВВЕДЕНИЕ</w:t>
            </w:r>
            <w:r w:rsidR="009D6A5F">
              <w:rPr>
                <w:noProof/>
                <w:webHidden/>
              </w:rPr>
              <w:tab/>
            </w:r>
            <w:r w:rsidR="009D6A5F">
              <w:rPr>
                <w:noProof/>
                <w:webHidden/>
              </w:rPr>
              <w:fldChar w:fldCharType="begin"/>
            </w:r>
            <w:r w:rsidR="009D6A5F">
              <w:rPr>
                <w:noProof/>
                <w:webHidden/>
              </w:rPr>
              <w:instrText xml:space="preserve"> PAGEREF _Toc2251442 \h </w:instrText>
            </w:r>
            <w:r w:rsidR="009D6A5F">
              <w:rPr>
                <w:noProof/>
                <w:webHidden/>
              </w:rPr>
            </w:r>
            <w:r w:rsidR="009D6A5F">
              <w:rPr>
                <w:noProof/>
                <w:webHidden/>
              </w:rPr>
              <w:fldChar w:fldCharType="separate"/>
            </w:r>
            <w:r w:rsidR="009D6A5F">
              <w:rPr>
                <w:noProof/>
                <w:webHidden/>
              </w:rPr>
              <w:t>3</w:t>
            </w:r>
            <w:r w:rsidR="009D6A5F">
              <w:rPr>
                <w:noProof/>
                <w:webHidden/>
              </w:rPr>
              <w:fldChar w:fldCharType="end"/>
            </w:r>
          </w:hyperlink>
        </w:p>
        <w:p w:rsidR="009D6A5F" w:rsidRDefault="009D6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251443" w:history="1">
            <w:r w:rsidRPr="00BC1E27">
              <w:rPr>
                <w:rStyle w:val="a5"/>
                <w:noProof/>
              </w:rPr>
              <w:t>1 ПРОБЛЕМА МОШЕННИЧЕСТВА В СИСТЕМАХ ДБО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_Toc2251443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6A5F" w:rsidRDefault="009D6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251444" w:history="1">
            <w:r w:rsidRPr="00BC1E27">
              <w:rPr>
                <w:rStyle w:val="a5"/>
                <w:noProof/>
              </w:rPr>
              <w:t>2 АНТИФРОД —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_Toc2251444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6A5F" w:rsidRDefault="009D6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251445" w:history="1">
            <w:r w:rsidRPr="00BC1E27">
              <w:rPr>
                <w:rStyle w:val="a5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_Toc2251445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6A5F" w:rsidRDefault="009D6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251446" w:history="1">
            <w:r w:rsidRPr="00BC1E27">
              <w:rPr>
                <w:rStyle w:val="a5"/>
                <w:caps/>
                <w:noProof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_Toc2251446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5584" w:rsidRDefault="009C5584">
          <w:r>
            <w:rPr>
              <w:b/>
              <w:bCs/>
            </w:rPr>
            <w:fldChar w:fldCharType="end"/>
          </w:r>
        </w:p>
      </w:sdtContent>
    </w:sdt>
    <w:p w:rsidR="00DA5583" w:rsidRDefault="00DA5583">
      <w:pP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br w:type="page"/>
      </w:r>
      <w:bookmarkStart w:id="1" w:name="_GoBack"/>
      <w:bookmarkEnd w:id="1"/>
    </w:p>
    <w:p w:rsidR="009735DA" w:rsidRPr="009735DA" w:rsidRDefault="009735DA" w:rsidP="009735DA">
      <w:pPr>
        <w:pStyle w:val="1"/>
        <w:jc w:val="center"/>
        <w:rPr>
          <w:sz w:val="32"/>
          <w:szCs w:val="32"/>
        </w:rPr>
      </w:pPr>
      <w:bookmarkStart w:id="2" w:name="_Toc2251442"/>
      <w:r w:rsidRPr="009735DA">
        <w:rPr>
          <w:sz w:val="32"/>
          <w:szCs w:val="32"/>
        </w:rPr>
        <w:lastRenderedPageBreak/>
        <w:t>ВВЕДЕНИЕ</w:t>
      </w:r>
      <w:bookmarkEnd w:id="2"/>
    </w:p>
    <w:p w:rsidR="00F026D7" w:rsidRDefault="00D91967" w:rsidP="00D91967">
      <w:pPr>
        <w:pStyle w:val="zdv"/>
      </w:pPr>
      <w:r w:rsidRPr="00D91967">
        <w:t>В настоящее время дистанционное банковское обслуживание (</w:t>
      </w:r>
      <w:r>
        <w:t xml:space="preserve">далее </w:t>
      </w:r>
      <w:r w:rsidR="00ED0319" w:rsidRPr="00E0240D">
        <w:t>—</w:t>
      </w:r>
      <w:r>
        <w:t xml:space="preserve"> ДБО</w:t>
      </w:r>
      <w:r w:rsidRPr="00D91967">
        <w:t>) является неотъемлемой частью банковских услуг, востребованных кл</w:t>
      </w:r>
      <w:r>
        <w:t>иентами и удобных для кредитных</w:t>
      </w:r>
      <w:r w:rsidRPr="00D91967">
        <w:t xml:space="preserve"> организаций. Количество пользователей систем ДБО неуклонно растёт, увеличивается число и</w:t>
      </w:r>
      <w:r w:rsidR="00230F85">
        <w:t xml:space="preserve"> </w:t>
      </w:r>
      <w:r w:rsidRPr="00D91967">
        <w:t>объем операций. Одновременно возрастает и</w:t>
      </w:r>
      <w:r w:rsidR="00C55A04">
        <w:t xml:space="preserve"> </w:t>
      </w:r>
      <w:r w:rsidRPr="00D91967">
        <w:t>риск</w:t>
      </w:r>
      <w:r w:rsidR="00C55A04">
        <w:t xml:space="preserve"> </w:t>
      </w:r>
      <w:r w:rsidRPr="00D91967">
        <w:t>от</w:t>
      </w:r>
      <w:r w:rsidR="00681951">
        <w:t xml:space="preserve"> </w:t>
      </w:r>
      <w:r w:rsidRPr="00D91967">
        <w:t>мошеннических</w:t>
      </w:r>
      <w:r w:rsidR="00D745B6">
        <w:t xml:space="preserve"> </w:t>
      </w:r>
      <w:r w:rsidRPr="00D91967">
        <w:t>действий</w:t>
      </w:r>
      <w:r w:rsidR="00D745B6">
        <w:t xml:space="preserve"> </w:t>
      </w:r>
      <w:r w:rsidRPr="00D91967">
        <w:t>злоумышленников, пытающихся</w:t>
      </w:r>
      <w:r w:rsidR="00D745B6">
        <w:t xml:space="preserve"> </w:t>
      </w:r>
      <w:r w:rsidRPr="00D91967">
        <w:t>на</w:t>
      </w:r>
      <w:r w:rsidR="00D745B6">
        <w:t xml:space="preserve"> </w:t>
      </w:r>
      <w:r w:rsidRPr="00D91967">
        <w:t>волне</w:t>
      </w:r>
      <w:r w:rsidR="00D745B6">
        <w:t xml:space="preserve"> </w:t>
      </w:r>
      <w:r w:rsidRPr="00D91967">
        <w:t>роста</w:t>
      </w:r>
      <w:r w:rsidR="00D745B6">
        <w:t xml:space="preserve"> </w:t>
      </w:r>
      <w:r w:rsidRPr="00D91967">
        <w:t>популярности дистанционного банкинга похищать денежные средства в системах ДБО.</w:t>
      </w:r>
    </w:p>
    <w:p w:rsidR="00F50E55" w:rsidRPr="005362CF" w:rsidRDefault="005362CF" w:rsidP="005362CF">
      <w:pPr>
        <w:pStyle w:val="1"/>
        <w:jc w:val="center"/>
        <w:rPr>
          <w:sz w:val="32"/>
          <w:szCs w:val="32"/>
        </w:rPr>
      </w:pPr>
      <w:bookmarkStart w:id="3" w:name="_Toc2251443"/>
      <w:r>
        <w:rPr>
          <w:sz w:val="32"/>
          <w:szCs w:val="32"/>
        </w:rPr>
        <w:t xml:space="preserve">1 </w:t>
      </w:r>
      <w:r w:rsidRPr="005362CF">
        <w:rPr>
          <w:sz w:val="32"/>
          <w:szCs w:val="32"/>
        </w:rPr>
        <w:t>ПРОБЛЕМА МОШЕННИЧЕСТВА В СИСТЕМАХ ДБО</w:t>
      </w:r>
      <w:bookmarkEnd w:id="3"/>
    </w:p>
    <w:p w:rsidR="009D4FF7" w:rsidRPr="001727F2" w:rsidRDefault="009D4FF7" w:rsidP="009D4FF7">
      <w:pPr>
        <w:pStyle w:val="zdv"/>
      </w:pPr>
      <w:r w:rsidRPr="001727F2">
        <w:t>На сегодняшний день счета юридических лиц являются наиболее привлекательной целью для компьютерных мошенников, ведь одна удачная кража может принести им миллионы рублей, а ответственность за такие преступления в нашей стране пока что минимальна. Такая ситуация требует от финансовых организаций, которые заботятся о своих клиентах,  постоянного совершенствования системы безопасности своей системы Интернет-банкинга.</w:t>
      </w:r>
    </w:p>
    <w:p w:rsidR="009D4FF7" w:rsidRPr="001727F2" w:rsidRDefault="009D4FF7" w:rsidP="009D4FF7">
      <w:pPr>
        <w:pStyle w:val="zdv"/>
      </w:pPr>
      <w:r w:rsidRPr="001727F2">
        <w:t>Вместе с тем, не существует средств защиты, которые одинаково хорошо подходят для всех категорий клиентов. Например, кроме уровня безопасности, для малых предприятий максимальное значение имеет стоимость решения, для корпораций – скорость подписания транзакций, для VIP-клиентов – мобильность.</w:t>
      </w:r>
    </w:p>
    <w:p w:rsidR="009D4FF7" w:rsidRPr="00A121F1" w:rsidRDefault="009D4FF7" w:rsidP="009D4FF7">
      <w:pPr>
        <w:pStyle w:val="zdv"/>
      </w:pPr>
      <w:r w:rsidRPr="00A121F1">
        <w:t>По оценкам экспертов, общий объем потерь клиентов систем дистанционного банкинга от хакерских атак на территории СНГ каждый год растет примерно на 80% и в 201</w:t>
      </w:r>
      <w:r>
        <w:t>8</w:t>
      </w:r>
      <w:r w:rsidRPr="00A121F1">
        <w:t>г. приблизится к 2 млрд. долларов.</w:t>
      </w:r>
    </w:p>
    <w:p w:rsidR="009D4FF7" w:rsidRPr="009D4FF7" w:rsidRDefault="009D4FF7" w:rsidP="009D4FF7">
      <w:pPr>
        <w:pStyle w:val="zdv"/>
      </w:pPr>
      <w:r w:rsidRPr="00A121F1">
        <w:t>Основной причиной проблемы в данном случае является невозможность (либо крайне высокая стоимость) создания доверенной рабочей среды на компьютере каждого клиента, что приводит к успешным реализациям атак на расчетные счета клиентов.</w:t>
      </w:r>
      <w:r w:rsidRPr="00A121F1">
        <w:br/>
        <w:t xml:space="preserve">Даже аппаратные средства криптографической защиты информации с </w:t>
      </w:r>
      <w:proofErr w:type="spellStart"/>
      <w:r w:rsidRPr="00A121F1">
        <w:t>неизвлекаемым</w:t>
      </w:r>
      <w:proofErr w:type="spellEnd"/>
      <w:r w:rsidRPr="00A121F1">
        <w:t xml:space="preserve"> ключом электронной подписи (ЭП) не позволяют надежно защитить  пользователей от современных видов атак.</w:t>
      </w:r>
    </w:p>
    <w:p w:rsidR="009D4FF7" w:rsidRPr="0049343A" w:rsidRDefault="009D4FF7" w:rsidP="009D4FF7">
      <w:pPr>
        <w:pStyle w:val="zdv"/>
      </w:pPr>
      <w:r w:rsidRPr="0049343A">
        <w:t xml:space="preserve">Электронно-цифровая подпись (ЭЦП) - это реквизит электронного документа, предназначенный для защиты данного электронного документа от внесения изменений и замены, полученный в результате криптографического преобразования информации с </w:t>
      </w:r>
      <w:r w:rsidRPr="0049343A">
        <w:lastRenderedPageBreak/>
        <w:t>использованием закрытого ключа электронной цифровой подписи и позволяющий идентифицировать владельца сертификата ключа подписи. ЭЦП обеспечивает:</w:t>
      </w:r>
    </w:p>
    <w:p w:rsidR="009D4FF7" w:rsidRPr="0049343A" w:rsidRDefault="009D4FF7" w:rsidP="009D4FF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• </w:t>
      </w:r>
      <w:r w:rsidRPr="0049343A">
        <w:rPr>
          <w:rFonts w:ascii="Arial" w:eastAsia="Times New Roman" w:hAnsi="Arial" w:cs="Arial" w:hint="eastAsia"/>
          <w:color w:val="000000"/>
          <w:sz w:val="20"/>
          <w:szCs w:val="20"/>
          <w:shd w:val="clear" w:color="auto" w:fill="FFFFFF"/>
          <w:lang w:eastAsia="ru-RU"/>
        </w:rPr>
        <w:t>проверку</w:t>
      </w: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Pr="0049343A">
        <w:rPr>
          <w:rFonts w:ascii="Arial" w:eastAsia="Times New Roman" w:hAnsi="Arial" w:cs="Arial" w:hint="eastAsia"/>
          <w:color w:val="000000"/>
          <w:sz w:val="20"/>
          <w:szCs w:val="20"/>
          <w:shd w:val="clear" w:color="auto" w:fill="FFFFFF"/>
          <w:lang w:eastAsia="ru-RU"/>
        </w:rPr>
        <w:t>целостности</w:t>
      </w: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Pr="0049343A">
        <w:rPr>
          <w:rFonts w:ascii="Arial" w:eastAsia="Times New Roman" w:hAnsi="Arial" w:cs="Arial" w:hint="eastAsia"/>
          <w:color w:val="000000"/>
          <w:sz w:val="20"/>
          <w:szCs w:val="20"/>
          <w:shd w:val="clear" w:color="auto" w:fill="FFFFFF"/>
          <w:lang w:eastAsia="ru-RU"/>
        </w:rPr>
        <w:t>документов</w:t>
      </w: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;</w:t>
      </w:r>
    </w:p>
    <w:p w:rsidR="009D4FF7" w:rsidRPr="0049343A" w:rsidRDefault="009D4FF7" w:rsidP="009D4FF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• </w:t>
      </w:r>
      <w:r w:rsidRPr="0049343A">
        <w:rPr>
          <w:rFonts w:ascii="Arial" w:eastAsia="Times New Roman" w:hAnsi="Arial" w:cs="Arial" w:hint="eastAsia"/>
          <w:color w:val="000000"/>
          <w:sz w:val="20"/>
          <w:szCs w:val="20"/>
          <w:shd w:val="clear" w:color="auto" w:fill="FFFFFF"/>
          <w:lang w:eastAsia="ru-RU"/>
        </w:rPr>
        <w:t>конфиденциальность</w:t>
      </w: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Pr="0049343A">
        <w:rPr>
          <w:rFonts w:ascii="Arial" w:eastAsia="Times New Roman" w:hAnsi="Arial" w:cs="Arial" w:hint="eastAsia"/>
          <w:color w:val="000000"/>
          <w:sz w:val="20"/>
          <w:szCs w:val="20"/>
          <w:shd w:val="clear" w:color="auto" w:fill="FFFFFF"/>
          <w:lang w:eastAsia="ru-RU"/>
        </w:rPr>
        <w:t>документов</w:t>
      </w: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;</w:t>
      </w:r>
    </w:p>
    <w:p w:rsidR="009D4FF7" w:rsidRPr="0049343A" w:rsidRDefault="009D4FF7" w:rsidP="009D4FF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• </w:t>
      </w:r>
      <w:r w:rsidRPr="0049343A">
        <w:rPr>
          <w:rFonts w:ascii="Arial" w:eastAsia="Times New Roman" w:hAnsi="Arial" w:cs="Arial" w:hint="eastAsia"/>
          <w:color w:val="000000"/>
          <w:sz w:val="20"/>
          <w:szCs w:val="20"/>
          <w:shd w:val="clear" w:color="auto" w:fill="FFFFFF"/>
          <w:lang w:eastAsia="ru-RU"/>
        </w:rPr>
        <w:t>установление</w:t>
      </w: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Pr="0049343A">
        <w:rPr>
          <w:rFonts w:ascii="Arial" w:eastAsia="Times New Roman" w:hAnsi="Arial" w:cs="Arial" w:hint="eastAsia"/>
          <w:color w:val="000000"/>
          <w:sz w:val="20"/>
          <w:szCs w:val="20"/>
          <w:shd w:val="clear" w:color="auto" w:fill="FFFFFF"/>
          <w:lang w:eastAsia="ru-RU"/>
        </w:rPr>
        <w:t>лица</w:t>
      </w: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, </w:t>
      </w:r>
      <w:r w:rsidRPr="0049343A">
        <w:rPr>
          <w:rFonts w:ascii="Arial" w:eastAsia="Times New Roman" w:hAnsi="Arial" w:cs="Arial" w:hint="eastAsia"/>
          <w:color w:val="000000"/>
          <w:sz w:val="20"/>
          <w:szCs w:val="20"/>
          <w:shd w:val="clear" w:color="auto" w:fill="FFFFFF"/>
          <w:lang w:eastAsia="ru-RU"/>
        </w:rPr>
        <w:t>отправившего</w:t>
      </w: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Pr="0049343A">
        <w:rPr>
          <w:rFonts w:ascii="Arial" w:eastAsia="Times New Roman" w:hAnsi="Arial" w:cs="Arial" w:hint="eastAsia"/>
          <w:color w:val="000000"/>
          <w:sz w:val="20"/>
          <w:szCs w:val="20"/>
          <w:shd w:val="clear" w:color="auto" w:fill="FFFFFF"/>
          <w:lang w:eastAsia="ru-RU"/>
        </w:rPr>
        <w:t>документ</w:t>
      </w:r>
      <w:r w:rsidRPr="0049343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</w:t>
      </w:r>
    </w:p>
    <w:p w:rsidR="00323D7A" w:rsidRPr="00C23C1F" w:rsidRDefault="00323D7A" w:rsidP="009D4FF7">
      <w:pPr>
        <w:pStyle w:val="zdv"/>
      </w:pPr>
    </w:p>
    <w:p w:rsidR="009D4FF7" w:rsidRPr="00A121F1" w:rsidRDefault="009D4FF7" w:rsidP="009D4FF7">
      <w:pPr>
        <w:pStyle w:val="zdv"/>
      </w:pPr>
      <w:r w:rsidRPr="00A121F1">
        <w:t xml:space="preserve">При проведении финансово значимых транзакций в системах дистанционного банковского обслуживания (ДБО), необходим контроль целостности подписываемого документа и подтверждение авторства. Современные технологии позволяют делать это при помощи электронной цифровой подписи (ЭЦП). В этом случае самым уязвимым звеном системы становится закрытый (секретный) ключ ЭЦП. Обеспечить его защиту от копирования можно, используя </w:t>
      </w:r>
      <w:proofErr w:type="spellStart"/>
      <w:r w:rsidRPr="00A121F1">
        <w:t>токены</w:t>
      </w:r>
      <w:proofErr w:type="spellEnd"/>
      <w:r w:rsidRPr="00A121F1">
        <w:t xml:space="preserve"> или смарт-карты с </w:t>
      </w:r>
      <w:proofErr w:type="spellStart"/>
      <w:r w:rsidRPr="00A121F1">
        <w:t>аппаратно</w:t>
      </w:r>
      <w:proofErr w:type="spellEnd"/>
      <w:r w:rsidRPr="00A121F1">
        <w:t xml:space="preserve"> реализованными криптографическими функциями. При этом закрытый ключ ЭЦП генерируется в смарт-карте, является </w:t>
      </w:r>
      <w:proofErr w:type="spellStart"/>
      <w:r w:rsidRPr="00A121F1">
        <w:t>неизвлекаемым</w:t>
      </w:r>
      <w:proofErr w:type="spellEnd"/>
      <w:r w:rsidRPr="00A121F1">
        <w:t xml:space="preserve"> и используется только для подписи передаваемых «снаружи» данных.</w:t>
      </w:r>
    </w:p>
    <w:p w:rsidR="009D4FF7" w:rsidRPr="00A121F1" w:rsidRDefault="009D4FF7" w:rsidP="009D4FF7">
      <w:pPr>
        <w:pStyle w:val="zdv"/>
      </w:pPr>
      <w:r w:rsidRPr="00A121F1">
        <w:t xml:space="preserve">Однако, даже в случае использования аппаратных </w:t>
      </w:r>
      <w:proofErr w:type="spellStart"/>
      <w:r w:rsidRPr="00A121F1">
        <w:t>криптосредств</w:t>
      </w:r>
      <w:proofErr w:type="spellEnd"/>
      <w:r w:rsidRPr="00A121F1">
        <w:t>, у злоумышленников остаются возможности для проведения мошеннических операций при помощи несанкционированного доступа к криптографическим возможностям смарт-карты или удаленного управления рабочей станцией пользователя. Причиной тому является невозможность построения доверенной среды на компьютерах клиентов, так как современные операционные системы (ОС) подвержены воздействию вредоносного программного обеспечения (вирусы, «трояны» и т.д.). Отдельно стоит отметить технологию «</w:t>
      </w:r>
      <w:proofErr w:type="spellStart"/>
      <w:r w:rsidRPr="00A121F1">
        <w:t>руткитов</w:t>
      </w:r>
      <w:proofErr w:type="spellEnd"/>
      <w:r w:rsidRPr="00A121F1">
        <w:t>», которые перехватывают управление компьютером еще до загрузки операционной системы и не могут быть обнаружены классическими антивирусными средствами.</w:t>
      </w:r>
    </w:p>
    <w:p w:rsidR="009D4FF7" w:rsidRPr="00493558" w:rsidRDefault="009D4FF7" w:rsidP="009D4FF7">
      <w:pPr>
        <w:pStyle w:val="zdv"/>
        <w:rPr>
          <w:b/>
        </w:rPr>
      </w:pPr>
      <w:r w:rsidRPr="00493558">
        <w:rPr>
          <w:b/>
        </w:rPr>
        <w:t>Хищение ключей электронной подписи (ЭП) с незащищенных носителей.</w:t>
      </w:r>
    </w:p>
    <w:p w:rsidR="009D4FF7" w:rsidRPr="00A121F1" w:rsidRDefault="009D4FF7" w:rsidP="009D4FF7">
      <w:pPr>
        <w:pStyle w:val="zdv"/>
      </w:pPr>
      <w:r w:rsidRPr="00A121F1">
        <w:t xml:space="preserve">Наиболее простая и отработанная технология, при помощи которой до сих пор реализуется большинство атак на клиентов систем ДБО, хранящих ключи ЭП на </w:t>
      </w:r>
      <w:proofErr w:type="spellStart"/>
      <w:r w:rsidRPr="00A121F1">
        <w:t>флешках</w:t>
      </w:r>
      <w:proofErr w:type="spellEnd"/>
      <w:r w:rsidRPr="00A121F1">
        <w:t>, дисках, дискетах, на жестком диске и т. д.</w:t>
      </w:r>
    </w:p>
    <w:p w:rsidR="009D4FF7" w:rsidRPr="00493558" w:rsidRDefault="009D4FF7" w:rsidP="009D4FF7">
      <w:pPr>
        <w:pStyle w:val="zdv"/>
        <w:rPr>
          <w:b/>
        </w:rPr>
      </w:pPr>
      <w:r w:rsidRPr="00493558">
        <w:rPr>
          <w:b/>
        </w:rPr>
        <w:t>Хищение закрытых ключей ЭП из оперативной памяти.</w:t>
      </w:r>
    </w:p>
    <w:p w:rsidR="009D4FF7" w:rsidRPr="00A121F1" w:rsidRDefault="009D4FF7" w:rsidP="009D4FF7">
      <w:pPr>
        <w:pStyle w:val="zdv"/>
      </w:pPr>
      <w:r w:rsidRPr="00A121F1">
        <w:t>Обычно применяется в случае использования клиентом средства защищенного хранения ключей ЭП, которое позволяет извлекать их из закрытой области памяти устройства.</w:t>
      </w:r>
    </w:p>
    <w:p w:rsidR="009D4FF7" w:rsidRPr="00493558" w:rsidRDefault="009D4FF7" w:rsidP="009D4FF7">
      <w:pPr>
        <w:pStyle w:val="zdv"/>
        <w:rPr>
          <w:b/>
        </w:rPr>
      </w:pPr>
      <w:r w:rsidRPr="00493558">
        <w:rPr>
          <w:b/>
        </w:rPr>
        <w:lastRenderedPageBreak/>
        <w:t>Несанкционированный доступ к криптографическим возможностям смарт-карты.</w:t>
      </w:r>
    </w:p>
    <w:p w:rsidR="009D4FF7" w:rsidRPr="00A121F1" w:rsidRDefault="009D4FF7" w:rsidP="009D4FF7">
      <w:pPr>
        <w:pStyle w:val="zdv"/>
      </w:pPr>
      <w:r w:rsidRPr="00A121F1">
        <w:t xml:space="preserve">Одна из наиболее опасных и перспективных атак. Реализуется либо при помощи средств удаленного управления компьютером клиента (класса </w:t>
      </w:r>
      <w:proofErr w:type="spellStart"/>
      <w:r w:rsidRPr="00A121F1">
        <w:t>TeamViewer</w:t>
      </w:r>
      <w:proofErr w:type="spellEnd"/>
      <w:r w:rsidRPr="00A121F1">
        <w:t>), либо с использованием удаленного подключения к USB-порту (технология USB-</w:t>
      </w:r>
      <w:proofErr w:type="spellStart"/>
      <w:r w:rsidRPr="00A121F1">
        <w:t>over</w:t>
      </w:r>
      <w:proofErr w:type="spellEnd"/>
      <w:r w:rsidRPr="00A121F1">
        <w:t>-IP). Ограничением для данной атаки является обязательное подключение смарт-карты (</w:t>
      </w:r>
      <w:proofErr w:type="spellStart"/>
      <w:r w:rsidRPr="00A121F1">
        <w:t>токена</w:t>
      </w:r>
      <w:proofErr w:type="spellEnd"/>
      <w:r w:rsidRPr="00A121F1">
        <w:t>) в момент ее проведения.</w:t>
      </w:r>
    </w:p>
    <w:p w:rsidR="009D4FF7" w:rsidRPr="00493558" w:rsidRDefault="009D4FF7" w:rsidP="009D4FF7">
      <w:pPr>
        <w:pStyle w:val="zdv"/>
        <w:rPr>
          <w:b/>
        </w:rPr>
      </w:pPr>
      <w:r w:rsidRPr="00493558">
        <w:rPr>
          <w:b/>
        </w:rPr>
        <w:t>Подмена документа при передаче его на подпись в смарт-карту.</w:t>
      </w:r>
    </w:p>
    <w:p w:rsidR="009D4FF7" w:rsidRPr="00A121F1" w:rsidRDefault="009D4FF7" w:rsidP="009D4FF7">
      <w:pPr>
        <w:pStyle w:val="zdv"/>
      </w:pPr>
      <w:r w:rsidRPr="00A121F1">
        <w:t>Наиболее сложный и опасный на сегодняшний день вид атак. В данном случае пользователь видит на экране монитора одну информацию, а в смарт-карту на подпись отправляется другая. Параллельно могут быть подменены данные об остатках на счете, выполненных транзакциях и т. д.</w:t>
      </w:r>
    </w:p>
    <w:p w:rsidR="009D4FF7" w:rsidRPr="00493558" w:rsidRDefault="009D4FF7" w:rsidP="009D4FF7">
      <w:pPr>
        <w:pStyle w:val="zdv"/>
      </w:pPr>
      <w:r w:rsidRPr="00493558">
        <w:t>Таким образом, очевидно, что традиционных средств защиты, не позволяющих контролировать содержание подписываемого документа, на сегодняшний день недостаточно для защиты от современных видов атак.</w:t>
      </w:r>
    </w:p>
    <w:p w:rsidR="009D4FF7" w:rsidRDefault="009D4FF7" w:rsidP="009D4FF7">
      <w:pPr>
        <w:pStyle w:val="zdv"/>
      </w:pPr>
      <w:r w:rsidRPr="00780DBC">
        <w:t xml:space="preserve">Резко выросло количество вредоносного </w:t>
      </w:r>
      <w:proofErr w:type="gramStart"/>
      <w:r w:rsidRPr="00780DBC">
        <w:t>ПО</w:t>
      </w:r>
      <w:proofErr w:type="gramEnd"/>
      <w:r w:rsidRPr="00A121F1">
        <w:t xml:space="preserve"> </w:t>
      </w:r>
      <w:proofErr w:type="gramStart"/>
      <w:r w:rsidRPr="00780DBC">
        <w:t>для</w:t>
      </w:r>
      <w:proofErr w:type="gramEnd"/>
      <w:r w:rsidRPr="00780DBC">
        <w:t xml:space="preserve"> ПК, причем антивирусные средства не помогают</w:t>
      </w:r>
      <w:r>
        <w:t xml:space="preserve">, </w:t>
      </w:r>
      <w:r w:rsidRPr="00780DBC">
        <w:t>«кражи» SMS с мобильных устройств</w:t>
      </w:r>
      <w:r>
        <w:t>. Наряду с т</w:t>
      </w:r>
      <w:r w:rsidRPr="0092228D">
        <w:t>радиционны</w:t>
      </w:r>
      <w:r>
        <w:t>ми</w:t>
      </w:r>
      <w:r w:rsidRPr="0092228D">
        <w:t xml:space="preserve"> метод</w:t>
      </w:r>
      <w:r>
        <w:t>ами</w:t>
      </w:r>
      <w:r w:rsidRPr="0092228D">
        <w:t xml:space="preserve"> атак</w:t>
      </w:r>
      <w:r>
        <w:t xml:space="preserve">, такими, как </w:t>
      </w:r>
      <w:proofErr w:type="spellStart"/>
      <w:r w:rsidRPr="0092228D">
        <w:t>фишинг</w:t>
      </w:r>
      <w:proofErr w:type="spellEnd"/>
      <w:r>
        <w:t xml:space="preserve">, </w:t>
      </w:r>
      <w:r w:rsidRPr="0092228D">
        <w:t>социальная инженерия</w:t>
      </w:r>
      <w:r>
        <w:t xml:space="preserve">, </w:t>
      </w:r>
      <w:r w:rsidRPr="0092228D">
        <w:t>удаленный доступ</w:t>
      </w:r>
      <w:r>
        <w:t xml:space="preserve">, появляются новые методы, например, </w:t>
      </w:r>
      <w:r w:rsidRPr="00780DBC">
        <w:t xml:space="preserve">автоматическая подмена платежных </w:t>
      </w:r>
      <w:r>
        <w:t xml:space="preserve">реквизитов и </w:t>
      </w:r>
      <w:r w:rsidRPr="00780DBC">
        <w:t>виртуальные базовые станции мобильных операторов</w:t>
      </w:r>
      <w:r>
        <w:t>.</w:t>
      </w:r>
    </w:p>
    <w:p w:rsidR="009D4FF7" w:rsidRPr="0049343A" w:rsidRDefault="009D4FF7" w:rsidP="009D4FF7">
      <w:pPr>
        <w:pStyle w:val="zdv"/>
      </w:pPr>
      <w:r w:rsidRPr="00AD6678">
        <w:t>Против комбинаций этих методов традиционные методы защиты (</w:t>
      </w:r>
      <w:r w:rsidRPr="00AD6678">
        <w:rPr>
          <w:lang w:val="en-US"/>
        </w:rPr>
        <w:t>SMS</w:t>
      </w:r>
      <w:r w:rsidRPr="00AD6678">
        <w:t xml:space="preserve">, генераторы одноразовых паролей, </w:t>
      </w:r>
      <w:proofErr w:type="spellStart"/>
      <w:proofErr w:type="gramStart"/>
      <w:r w:rsidRPr="00AD6678">
        <w:t>скретч</w:t>
      </w:r>
      <w:proofErr w:type="spellEnd"/>
      <w:r w:rsidRPr="00AD6678">
        <w:t>-карты</w:t>
      </w:r>
      <w:proofErr w:type="gramEnd"/>
      <w:r w:rsidRPr="00AD6678">
        <w:t xml:space="preserve">, </w:t>
      </w:r>
      <w:r>
        <w:t xml:space="preserve">традиционные </w:t>
      </w:r>
      <w:proofErr w:type="spellStart"/>
      <w:r w:rsidRPr="00AD6678">
        <w:t>антифрод</w:t>
      </w:r>
      <w:proofErr w:type="spellEnd"/>
      <w:r w:rsidRPr="00AD6678">
        <w:t>-системы и пр.) ста</w:t>
      </w:r>
      <w:r>
        <w:t>новятся недостаточно эффективными</w:t>
      </w:r>
      <w:r w:rsidRPr="0049343A">
        <w:t>:</w:t>
      </w:r>
    </w:p>
    <w:p w:rsidR="009D4FF7" w:rsidRDefault="009D4FF7" w:rsidP="009D4FF7">
      <w:pPr>
        <w:pStyle w:val="zdv"/>
      </w:pPr>
      <w:r w:rsidRPr="00EF1192">
        <w:rPr>
          <w:b/>
        </w:rPr>
        <w:t>СМС/</w:t>
      </w:r>
      <w:r w:rsidRPr="00EF1192">
        <w:rPr>
          <w:b/>
          <w:lang w:val="en-US"/>
        </w:rPr>
        <w:t>PUSH</w:t>
      </w:r>
    </w:p>
    <w:p w:rsidR="009D4FF7" w:rsidRPr="00EF1192" w:rsidRDefault="009D4FF7" w:rsidP="009D4FF7">
      <w:pPr>
        <w:pStyle w:val="zdv"/>
        <w:numPr>
          <w:ilvl w:val="0"/>
          <w:numId w:val="2"/>
        </w:numPr>
      </w:pPr>
      <w:r w:rsidRPr="00EF1192">
        <w:t xml:space="preserve">Не </w:t>
      </w:r>
      <w:proofErr w:type="gramStart"/>
      <w:r w:rsidRPr="00EF1192">
        <w:t>привязана</w:t>
      </w:r>
      <w:proofErr w:type="gramEnd"/>
      <w:r w:rsidRPr="00EF1192">
        <w:t xml:space="preserve"> к реквизитам</w:t>
      </w:r>
      <w:r>
        <w:rPr>
          <w:lang w:val="en-US"/>
        </w:rPr>
        <w:t>;</w:t>
      </w:r>
    </w:p>
    <w:p w:rsidR="009D4FF7" w:rsidRPr="00EF1192" w:rsidRDefault="009D4FF7" w:rsidP="009D4FF7">
      <w:pPr>
        <w:pStyle w:val="zdv"/>
        <w:numPr>
          <w:ilvl w:val="0"/>
          <w:numId w:val="2"/>
        </w:numPr>
      </w:pPr>
      <w:r>
        <w:t xml:space="preserve"> </w:t>
      </w:r>
      <w:r w:rsidRPr="00EF1192">
        <w:t xml:space="preserve">Код подтверждения знает третья сторона: (Банк, Оператор / </w:t>
      </w:r>
      <w:proofErr w:type="spellStart"/>
      <w:r w:rsidRPr="00EF1192">
        <w:t>Apple&amp;Google</w:t>
      </w:r>
      <w:proofErr w:type="spellEnd"/>
      <w:r w:rsidRPr="00EF1192">
        <w:t>);</w:t>
      </w:r>
    </w:p>
    <w:p w:rsidR="009D4FF7" w:rsidRPr="00EF1192" w:rsidRDefault="009D4FF7" w:rsidP="009D4FF7">
      <w:pPr>
        <w:pStyle w:val="zdv"/>
        <w:numPr>
          <w:ilvl w:val="0"/>
          <w:numId w:val="2"/>
        </w:numPr>
      </w:pPr>
      <w:r w:rsidRPr="00EF1192">
        <w:t>Легко перехватывается</w:t>
      </w:r>
      <w:r>
        <w:rPr>
          <w:lang w:val="en-US"/>
        </w:rPr>
        <w:t>;</w:t>
      </w:r>
    </w:p>
    <w:p w:rsidR="009D4FF7" w:rsidRPr="00EF1192" w:rsidRDefault="009D4FF7" w:rsidP="009D4FF7">
      <w:pPr>
        <w:pStyle w:val="zdv"/>
        <w:numPr>
          <w:ilvl w:val="0"/>
          <w:numId w:val="2"/>
        </w:numPr>
      </w:pPr>
      <w:r w:rsidRPr="00EF1192">
        <w:t>«Слабая» юридическая значимость</w:t>
      </w:r>
      <w:r>
        <w:rPr>
          <w:lang w:val="en-US"/>
        </w:rPr>
        <w:t>;</w:t>
      </w:r>
    </w:p>
    <w:p w:rsidR="009D4FF7" w:rsidRPr="00EF1192" w:rsidRDefault="009D4FF7" w:rsidP="009D4FF7">
      <w:pPr>
        <w:pStyle w:val="zdv"/>
        <w:numPr>
          <w:ilvl w:val="0"/>
          <w:numId w:val="2"/>
        </w:numPr>
      </w:pPr>
      <w:r w:rsidRPr="00EF1192">
        <w:t>ДОРОГО</w:t>
      </w:r>
      <w:r>
        <w:rPr>
          <w:lang w:val="en-US"/>
        </w:rPr>
        <w:t>.</w:t>
      </w:r>
    </w:p>
    <w:p w:rsidR="009D4FF7" w:rsidRDefault="009D4FF7" w:rsidP="009D4FF7">
      <w:pPr>
        <w:pStyle w:val="zdv"/>
        <w:rPr>
          <w:b/>
        </w:rPr>
      </w:pPr>
      <w:r w:rsidRPr="00EF1192">
        <w:rPr>
          <w:b/>
        </w:rPr>
        <w:lastRenderedPageBreak/>
        <w:t xml:space="preserve">USB </w:t>
      </w:r>
      <w:r>
        <w:rPr>
          <w:b/>
        </w:rPr>
        <w:t>–</w:t>
      </w:r>
      <w:r w:rsidRPr="00EF1192">
        <w:rPr>
          <w:b/>
        </w:rPr>
        <w:t xml:space="preserve"> </w:t>
      </w:r>
      <w:proofErr w:type="spellStart"/>
      <w:r w:rsidRPr="00EF1192">
        <w:rPr>
          <w:b/>
        </w:rPr>
        <w:t>токен</w:t>
      </w:r>
      <w:proofErr w:type="spellEnd"/>
    </w:p>
    <w:p w:rsidR="009D4FF7" w:rsidRPr="00EF1192" w:rsidRDefault="009D4FF7" w:rsidP="009D4FF7">
      <w:pPr>
        <w:pStyle w:val="zdv"/>
        <w:numPr>
          <w:ilvl w:val="0"/>
          <w:numId w:val="2"/>
        </w:numPr>
      </w:pPr>
      <w:r w:rsidRPr="00EF1192">
        <w:t>Всегда нужно иметь с собой;</w:t>
      </w:r>
    </w:p>
    <w:p w:rsidR="009D4FF7" w:rsidRPr="00EF1192" w:rsidRDefault="009D4FF7" w:rsidP="009D4FF7">
      <w:pPr>
        <w:pStyle w:val="zdv"/>
        <w:numPr>
          <w:ilvl w:val="0"/>
          <w:numId w:val="2"/>
        </w:numPr>
      </w:pPr>
      <w:r w:rsidRPr="00EF1192">
        <w:t>Не видно, что подписывается</w:t>
      </w:r>
      <w:r>
        <w:rPr>
          <w:lang w:val="en-US"/>
        </w:rPr>
        <w:t>;</w:t>
      </w:r>
    </w:p>
    <w:p w:rsidR="009D4FF7" w:rsidRPr="00EF1192" w:rsidRDefault="009D4FF7" w:rsidP="009D4FF7">
      <w:pPr>
        <w:pStyle w:val="zdv"/>
        <w:numPr>
          <w:ilvl w:val="0"/>
          <w:numId w:val="2"/>
        </w:numPr>
      </w:pPr>
      <w:r w:rsidRPr="00EF1192">
        <w:t>Сложность логистики</w:t>
      </w:r>
      <w:r>
        <w:rPr>
          <w:lang w:val="en-US"/>
        </w:rPr>
        <w:t>;</w:t>
      </w:r>
    </w:p>
    <w:p w:rsidR="009D4FF7" w:rsidRPr="00EF1192" w:rsidRDefault="009D4FF7" w:rsidP="009D4FF7">
      <w:pPr>
        <w:pStyle w:val="zdv"/>
        <w:numPr>
          <w:ilvl w:val="0"/>
          <w:numId w:val="2"/>
        </w:numPr>
      </w:pPr>
      <w:r w:rsidRPr="00EF1192">
        <w:t>ДОРОГО</w:t>
      </w:r>
      <w:r>
        <w:rPr>
          <w:lang w:val="en-US"/>
        </w:rPr>
        <w:t>;</w:t>
      </w:r>
    </w:p>
    <w:p w:rsidR="009D4FF7" w:rsidRPr="00EF1192" w:rsidRDefault="009D4FF7" w:rsidP="009D4FF7">
      <w:pPr>
        <w:pStyle w:val="zdv"/>
        <w:numPr>
          <w:ilvl w:val="0"/>
          <w:numId w:val="2"/>
        </w:numPr>
      </w:pPr>
      <w:r w:rsidRPr="00EF1192">
        <w:t>Не может быть полноценно использован в мобильном устройстве (телефон, планшет, ультра-буки).</w:t>
      </w:r>
    </w:p>
    <w:p w:rsidR="007E32D2" w:rsidRDefault="007E32D2" w:rsidP="0023306A">
      <w:pPr>
        <w:pStyle w:val="zdv"/>
      </w:pPr>
      <w:proofErr w:type="spellStart"/>
      <w:r>
        <w:t>Киберпреступники</w:t>
      </w:r>
      <w:proofErr w:type="spellEnd"/>
      <w:r>
        <w:t xml:space="preserve"> хорошо оснащены и организованы, в таких группах есть ролевое распределение – координаторы, </w:t>
      </w:r>
      <w:proofErr w:type="spellStart"/>
      <w:r>
        <w:t>дропперы</w:t>
      </w:r>
      <w:proofErr w:type="spellEnd"/>
      <w:r>
        <w:t xml:space="preserve"> и прочие специализации. Технологии хищения также развиваются и представляют полноценный технологический процесс - от стадии выявления уязвимостей до готовых инструментов и методов хищения</w:t>
      </w:r>
      <w:r w:rsidR="00F50E55">
        <w:t>.</w:t>
      </w:r>
    </w:p>
    <w:p w:rsidR="00F8218B" w:rsidRDefault="00F8218B" w:rsidP="00F8218B">
      <w:pPr>
        <w:pStyle w:val="zdv"/>
      </w:pPr>
      <w:r>
        <w:t>Атаки, при этом, могут вестись на информационные системы и самих банков и их клиентов, включая АРМ КБР (Автоматизированное рабочее место клиента </w:t>
      </w:r>
      <w:r w:rsidRPr="00E33124">
        <w:t>Банка России</w:t>
      </w:r>
      <w:r>
        <w:t xml:space="preserve">), </w:t>
      </w:r>
      <w:r w:rsidRPr="00E33124">
        <w:t>С</w:t>
      </w:r>
      <w:hyperlink r:id="rId11" w:tooltip="ДБО" w:history="1">
        <w:r w:rsidRPr="00E33124">
          <w:t>ДБО</w:t>
        </w:r>
      </w:hyperlink>
      <w:r w:rsidR="00253B0D">
        <w:t xml:space="preserve"> </w:t>
      </w:r>
      <w:r>
        <w:t>(система дистанционного банковского обслуживания), </w:t>
      </w:r>
      <w:r w:rsidRPr="00E33124">
        <w:t>АБС</w:t>
      </w:r>
      <w:r>
        <w:t xml:space="preserve"> (Автоматизированная банковская система) и прочие. Основная цель </w:t>
      </w:r>
      <w:proofErr w:type="spellStart"/>
      <w:r>
        <w:t>киберпреступников</w:t>
      </w:r>
      <w:proofErr w:type="spellEnd"/>
      <w:r>
        <w:t xml:space="preserve"> – максимизация прибыли от хищения при минимизации рисков, реже – причинение </w:t>
      </w:r>
      <w:proofErr w:type="spellStart"/>
      <w:r>
        <w:t>репутационного</w:t>
      </w:r>
      <w:proofErr w:type="spellEnd"/>
      <w:r>
        <w:t xml:space="preserve"> ущерба.</w:t>
      </w:r>
    </w:p>
    <w:p w:rsidR="008876A9" w:rsidRDefault="008876A9" w:rsidP="008876A9">
      <w:pPr>
        <w:pStyle w:val="zdv"/>
      </w:pPr>
      <w:r w:rsidRPr="00CE4BE5">
        <w:t>Как показывает практика, решение проблемы обеспечения безопасного дистанционно</w:t>
      </w:r>
      <w:r>
        <w:t>го</w:t>
      </w:r>
      <w:r w:rsidRPr="00CE4BE5">
        <w:t xml:space="preserve"> </w:t>
      </w:r>
      <w:r>
        <w:t xml:space="preserve">банковского </w:t>
      </w:r>
      <w:r w:rsidRPr="00CE4BE5">
        <w:t>обслуживани</w:t>
      </w:r>
      <w:r>
        <w:t xml:space="preserve">я клиентов </w:t>
      </w:r>
      <w:r w:rsidRPr="00CE4BE5">
        <w:t>заключается в</w:t>
      </w:r>
      <w:r>
        <w:t xml:space="preserve"> </w:t>
      </w:r>
      <w:r w:rsidRPr="00CE4BE5">
        <w:t>комплексном подходе, в сочетании организационных и</w:t>
      </w:r>
      <w:r>
        <w:t xml:space="preserve"> </w:t>
      </w:r>
      <w:r w:rsidRPr="00CE4BE5">
        <w:t>технических средств защиты</w:t>
      </w:r>
      <w:r>
        <w:t>,</w:t>
      </w:r>
      <w:r w:rsidRPr="00CE4BE5">
        <w:t xml:space="preserve"> </w:t>
      </w:r>
      <w:r>
        <w:t xml:space="preserve">как на </w:t>
      </w:r>
      <w:r w:rsidRPr="00CE4BE5">
        <w:t xml:space="preserve">стороне клиента, </w:t>
      </w:r>
      <w:r>
        <w:t xml:space="preserve">так и на </w:t>
      </w:r>
      <w:r w:rsidRPr="00CE4BE5">
        <w:t xml:space="preserve">стороне банка. </w:t>
      </w:r>
      <w:proofErr w:type="gramStart"/>
      <w:r w:rsidRPr="00CE4BE5">
        <w:t>В</w:t>
      </w:r>
      <w:r>
        <w:t xml:space="preserve"> </w:t>
      </w:r>
      <w:r w:rsidRPr="00CE4BE5">
        <w:t>качестве распространённ</w:t>
      </w:r>
      <w:r>
        <w:t xml:space="preserve">ых и </w:t>
      </w:r>
      <w:r w:rsidRPr="00CE4BE5">
        <w:t>хорошо зарекомендовавш</w:t>
      </w:r>
      <w:r>
        <w:t>их</w:t>
      </w:r>
      <w:r w:rsidRPr="00CE4BE5">
        <w:t xml:space="preserve"> себя метод</w:t>
      </w:r>
      <w:r>
        <w:t>ов</w:t>
      </w:r>
      <w:r w:rsidRPr="00CE4BE5">
        <w:t xml:space="preserve"> можно назвать использование на</w:t>
      </w:r>
      <w:r>
        <w:t xml:space="preserve"> </w:t>
      </w:r>
      <w:r w:rsidRPr="00CE4BE5">
        <w:t>стороне клиента средств аутентификации (</w:t>
      </w:r>
      <w:proofErr w:type="spellStart"/>
      <w:r w:rsidRPr="00CE4BE5">
        <w:t>токены</w:t>
      </w:r>
      <w:proofErr w:type="spellEnd"/>
      <w:r w:rsidRPr="00CE4BE5">
        <w:t xml:space="preserve">, считыватель смарт-карт </w:t>
      </w:r>
      <w:proofErr w:type="spellStart"/>
      <w:r w:rsidRPr="00CE4BE5">
        <w:t>Safe</w:t>
      </w:r>
      <w:proofErr w:type="spellEnd"/>
      <w:r w:rsidRPr="00CE4BE5">
        <w:t xml:space="preserve"> </w:t>
      </w:r>
      <w:proofErr w:type="spellStart"/>
      <w:r w:rsidRPr="00CE4BE5">
        <w:t>Touch</w:t>
      </w:r>
      <w:proofErr w:type="spellEnd"/>
      <w:r w:rsidRPr="00CE4BE5">
        <w:t>, носители и</w:t>
      </w:r>
      <w:r>
        <w:t xml:space="preserve"> </w:t>
      </w:r>
      <w:r w:rsidRPr="00CE4BE5">
        <w:t>генераторы</w:t>
      </w:r>
      <w:r>
        <w:t xml:space="preserve"> </w:t>
      </w:r>
      <w:r w:rsidRPr="00CE4BE5">
        <w:t xml:space="preserve">сеансовых ключей), </w:t>
      </w:r>
      <w:r>
        <w:t>ограничение доступа (</w:t>
      </w:r>
      <w:r>
        <w:rPr>
          <w:lang w:val="en-US"/>
        </w:rPr>
        <w:t>IP</w:t>
      </w:r>
      <w:r w:rsidRPr="0030652F">
        <w:t>/</w:t>
      </w:r>
      <w:r>
        <w:rPr>
          <w:lang w:val="en-US"/>
        </w:rPr>
        <w:t>MAC</w:t>
      </w:r>
      <w:r w:rsidRPr="0030652F">
        <w:t xml:space="preserve"> </w:t>
      </w:r>
      <w:r>
        <w:t xml:space="preserve">фильтрация), </w:t>
      </w:r>
      <w:r w:rsidRPr="00CE4BE5">
        <w:t>а</w:t>
      </w:r>
      <w:r>
        <w:t xml:space="preserve"> </w:t>
      </w:r>
      <w:r w:rsidRPr="00CE4BE5">
        <w:t>на</w:t>
      </w:r>
      <w:r>
        <w:t xml:space="preserve"> стороне банка </w:t>
      </w:r>
      <w:r w:rsidRPr="00CE4BE5">
        <w:t>— в</w:t>
      </w:r>
      <w:r>
        <w:t xml:space="preserve">недрение системы </w:t>
      </w:r>
      <w:r w:rsidRPr="00CE4BE5">
        <w:t>уведомления</w:t>
      </w:r>
      <w:r>
        <w:t xml:space="preserve"> </w:t>
      </w:r>
      <w:r w:rsidRPr="00CE4BE5">
        <w:t>о</w:t>
      </w:r>
      <w:r>
        <w:t xml:space="preserve"> </w:t>
      </w:r>
      <w:r w:rsidRPr="00CE4BE5">
        <w:t>событиях</w:t>
      </w:r>
      <w:r>
        <w:t>, автоматическое завершение по таймауту сессии пользователя, установка лимитов платежей, и</w:t>
      </w:r>
      <w:r w:rsidR="00BB3EB1">
        <w:t xml:space="preserve"> </w:t>
      </w:r>
      <w:r>
        <w:t>т</w:t>
      </w:r>
      <w:r w:rsidR="00BB3EB1">
        <w:t xml:space="preserve">. </w:t>
      </w:r>
      <w:r>
        <w:t xml:space="preserve">п. </w:t>
      </w:r>
      <w:proofErr w:type="gramEnd"/>
    </w:p>
    <w:p w:rsidR="0023306A" w:rsidRDefault="00CB3A16" w:rsidP="0023306A">
      <w:pPr>
        <w:pStyle w:val="zdv"/>
      </w:pPr>
      <w:r>
        <w:t xml:space="preserve">При этом </w:t>
      </w:r>
      <w:r w:rsidR="00074517">
        <w:t xml:space="preserve">полностью </w:t>
      </w:r>
      <w:r w:rsidR="00E0240D" w:rsidRPr="00E0240D">
        <w:t>проблему мошенничества в</w:t>
      </w:r>
      <w:r w:rsidR="00A74A3F">
        <w:t xml:space="preserve"> </w:t>
      </w:r>
      <w:r w:rsidR="00E0240D" w:rsidRPr="00E0240D">
        <w:t>системах ДБО невозможно решить исключительно техническими и</w:t>
      </w:r>
      <w:r w:rsidR="00A74A3F">
        <w:t xml:space="preserve"> </w:t>
      </w:r>
      <w:r w:rsidR="00E0240D" w:rsidRPr="00E0240D">
        <w:t>организационными</w:t>
      </w:r>
      <w:r w:rsidR="00A74A3F">
        <w:t xml:space="preserve"> </w:t>
      </w:r>
      <w:r w:rsidR="00E0240D">
        <w:t xml:space="preserve">мерами </w:t>
      </w:r>
      <w:r w:rsidR="00E0240D" w:rsidRPr="00E0240D">
        <w:t>— на</w:t>
      </w:r>
      <w:r w:rsidR="00A74A3F">
        <w:t xml:space="preserve"> </w:t>
      </w:r>
      <w:r w:rsidR="00E0240D" w:rsidRPr="00E0240D">
        <w:t>каждую доработку систем защиты, на</w:t>
      </w:r>
      <w:r w:rsidR="00A74A3F">
        <w:t xml:space="preserve"> </w:t>
      </w:r>
      <w:r w:rsidR="00E0240D" w:rsidRPr="00E0240D">
        <w:t>каждое организационное ограничение свободы работы клиента в системе</w:t>
      </w:r>
      <w:r w:rsidR="00540F47">
        <w:t xml:space="preserve"> ДБО всегда найдётся новое вредоносное программное обеспечение</w:t>
      </w:r>
      <w:r w:rsidR="00E0240D" w:rsidRPr="00E0240D">
        <w:t xml:space="preserve">, </w:t>
      </w:r>
      <w:r w:rsidR="00E0240D" w:rsidRPr="00E0240D">
        <w:lastRenderedPageBreak/>
        <w:t xml:space="preserve">новая техническая возможность мошенничества. </w:t>
      </w:r>
      <w:r w:rsidR="0023306A" w:rsidRPr="00E0240D">
        <w:t>Не</w:t>
      </w:r>
      <w:r w:rsidR="0023306A">
        <w:t xml:space="preserve"> </w:t>
      </w:r>
      <w:r w:rsidR="0023306A" w:rsidRPr="00E0240D">
        <w:t>секрет, что по-прежнему самой распространённой предпосылкой успешных атак является невыполнение пользователями основных рекомендаций по</w:t>
      </w:r>
      <w:r w:rsidR="0023306A">
        <w:t xml:space="preserve"> </w:t>
      </w:r>
      <w:r w:rsidR="0023306A" w:rsidRPr="00E0240D">
        <w:t>обеспечению безопасности</w:t>
      </w:r>
      <w:r w:rsidR="0023306A">
        <w:t xml:space="preserve"> при использовании операционной системы и, в частности, при </w:t>
      </w:r>
      <w:r w:rsidR="0023306A" w:rsidRPr="00E0240D">
        <w:t>работ</w:t>
      </w:r>
      <w:r w:rsidR="0023306A">
        <w:t>е</w:t>
      </w:r>
      <w:r w:rsidR="0023306A" w:rsidRPr="00E0240D">
        <w:t xml:space="preserve"> в </w:t>
      </w:r>
      <w:r w:rsidR="0023306A">
        <w:t xml:space="preserve">системе </w:t>
      </w:r>
      <w:r w:rsidR="0023306A" w:rsidRPr="00E0240D">
        <w:t>ДБО.</w:t>
      </w:r>
      <w:r w:rsidR="0023306A" w:rsidRPr="0023306A">
        <w:t xml:space="preserve"> </w:t>
      </w:r>
      <w:r w:rsidR="00936EEA">
        <w:t>Л</w:t>
      </w:r>
      <w:r w:rsidR="0023306A">
        <w:t xml:space="preserve">юбые технические и программные средства будут бесполезны без соблюдения элементарных правил безопасности, без организационных мер. Хороший тому пример – рост числа хищений с помощью методов социального инжиниринга, когда человеческий фактор становится самым слабым звеном в цепи, </w:t>
      </w:r>
      <w:r w:rsidR="0023306A" w:rsidRPr="00E0240D">
        <w:t>против которых иногда бессильны самы</w:t>
      </w:r>
      <w:r w:rsidR="0023306A">
        <w:t xml:space="preserve">е продвинутые организационные и </w:t>
      </w:r>
      <w:r w:rsidR="0023306A" w:rsidRPr="00E0240D">
        <w:t xml:space="preserve">технические средства. </w:t>
      </w:r>
      <w:r w:rsidR="00293DA9">
        <w:t>С помощью этого метода происходит более 90% хищений денежных средств</w:t>
      </w:r>
      <w:r w:rsidR="00293DA9">
        <w:rPr>
          <w:rStyle w:val="af0"/>
        </w:rPr>
        <w:footnoteReference w:id="1"/>
      </w:r>
      <w:r w:rsidR="00293DA9">
        <w:t>.</w:t>
      </w:r>
    </w:p>
    <w:p w:rsidR="00EB2D08" w:rsidRPr="00EB2D08" w:rsidRDefault="005362CF" w:rsidP="00EB2D08">
      <w:pPr>
        <w:pStyle w:val="1"/>
        <w:jc w:val="center"/>
        <w:rPr>
          <w:sz w:val="32"/>
          <w:szCs w:val="32"/>
        </w:rPr>
      </w:pPr>
      <w:bookmarkStart w:id="4" w:name="_Toc2251444"/>
      <w:r>
        <w:rPr>
          <w:sz w:val="32"/>
          <w:szCs w:val="32"/>
        </w:rPr>
        <w:t xml:space="preserve">2 </w:t>
      </w:r>
      <w:r w:rsidR="00EB2D08" w:rsidRPr="00EB2D08">
        <w:rPr>
          <w:sz w:val="32"/>
          <w:szCs w:val="32"/>
        </w:rPr>
        <w:t>А</w:t>
      </w:r>
      <w:r w:rsidR="00EB2D08">
        <w:rPr>
          <w:sz w:val="32"/>
          <w:szCs w:val="32"/>
        </w:rPr>
        <w:t>НТИФРОД</w:t>
      </w:r>
      <w:r w:rsidR="00EB2D08" w:rsidRPr="00EB2D08">
        <w:rPr>
          <w:sz w:val="32"/>
          <w:szCs w:val="32"/>
        </w:rPr>
        <w:t xml:space="preserve"> </w:t>
      </w:r>
      <w:r w:rsidR="00EB2D08">
        <w:rPr>
          <w:sz w:val="32"/>
          <w:szCs w:val="32"/>
        </w:rPr>
        <w:t>— СИСТЕМЫ</w:t>
      </w:r>
      <w:bookmarkEnd w:id="4"/>
    </w:p>
    <w:p w:rsidR="00C23C1F" w:rsidRDefault="00C23C1F" w:rsidP="00186039">
      <w:pPr>
        <w:pStyle w:val="zdv"/>
        <w:rPr>
          <w:color w:val="000000"/>
          <w:sz w:val="27"/>
          <w:szCs w:val="27"/>
          <w:lang w:val="en-US"/>
        </w:rPr>
      </w:pPr>
      <w:proofErr w:type="gramStart"/>
      <w:r w:rsidRPr="00C23C1F">
        <w:t>Сегодня, по различным оценкам, порядка 95% краж средств клиентов банка связано с мошенничеством в интернет и мобильном банкинге.</w:t>
      </w:r>
      <w:proofErr w:type="gramEnd"/>
      <w:r w:rsidRPr="00C23C1F">
        <w:t xml:space="preserve"> Природа мошенничества динамична, и каждый день появляются новые мошеннические</w:t>
      </w:r>
      <w:r>
        <w:rPr>
          <w:color w:val="000000"/>
          <w:sz w:val="27"/>
          <w:szCs w:val="27"/>
        </w:rPr>
        <w:t xml:space="preserve"> </w:t>
      </w:r>
      <w:r w:rsidRPr="00C23C1F">
        <w:t>схемы</w:t>
      </w:r>
      <w:r>
        <w:rPr>
          <w:color w:val="000000"/>
          <w:sz w:val="27"/>
          <w:szCs w:val="27"/>
        </w:rPr>
        <w:t>. </w:t>
      </w:r>
    </w:p>
    <w:p w:rsidR="00C23C1F" w:rsidRPr="00C23C1F" w:rsidRDefault="00C23C1F" w:rsidP="00186039">
      <w:pPr>
        <w:pStyle w:val="zdv"/>
      </w:pPr>
      <w:r w:rsidRPr="00C23C1F">
        <w:t xml:space="preserve">Современные системы дистанционного банковского обслуживания используют большое количество разнообразных </w:t>
      </w:r>
      <w:proofErr w:type="spellStart"/>
      <w:r w:rsidRPr="00C23C1F">
        <w:t>антифрод</w:t>
      </w:r>
      <w:proofErr w:type="spellEnd"/>
      <w:r w:rsidRPr="00C23C1F">
        <w:t>-систем</w:t>
      </w:r>
      <w:r w:rsidR="001A5714">
        <w:rPr>
          <w:rStyle w:val="af0"/>
        </w:rPr>
        <w:footnoteReference w:id="2"/>
      </w:r>
      <w:r w:rsidRPr="00C23C1F">
        <w:t>, основной задачей которых является предотвращение осуществления подозрительных платежных поручений клиента. Большинство таких систем учитывают различные параметры платежного поручения в совокупности с некоторыми данными, полученными от клиента. </w:t>
      </w:r>
    </w:p>
    <w:p w:rsidR="00186039" w:rsidRDefault="001A5714" w:rsidP="00186039">
      <w:pPr>
        <w:pStyle w:val="zdv"/>
      </w:pPr>
      <w:proofErr w:type="gramStart"/>
      <w:r>
        <w:rPr>
          <w:lang w:val="en-US"/>
        </w:rPr>
        <w:t>C</w:t>
      </w:r>
      <w:r w:rsidR="008E2CAF">
        <w:t xml:space="preserve"> </w:t>
      </w:r>
      <w:r w:rsidR="00186039" w:rsidRPr="00186039">
        <w:t>помощью</w:t>
      </w:r>
      <w:r w:rsidR="008E2CAF">
        <w:t xml:space="preserve"> </w:t>
      </w:r>
      <w:proofErr w:type="spellStart"/>
      <w:r w:rsidRPr="00C23C1F">
        <w:t>антифрод</w:t>
      </w:r>
      <w:proofErr w:type="spellEnd"/>
      <w:r w:rsidRPr="00C23C1F">
        <w:t>-систем</w:t>
      </w:r>
      <w:r w:rsidR="00186039" w:rsidRPr="00186039">
        <w:t xml:space="preserve"> фиксируются аномалии в</w:t>
      </w:r>
      <w:r w:rsidR="008E2CAF">
        <w:t xml:space="preserve"> </w:t>
      </w:r>
      <w:r w:rsidR="00186039" w:rsidRPr="00186039">
        <w:t>поведении клиента</w:t>
      </w:r>
      <w:r w:rsidR="008E2CAF">
        <w:t xml:space="preserve"> </w:t>
      </w:r>
      <w:r w:rsidR="00186039" w:rsidRPr="00186039">
        <w:t>и</w:t>
      </w:r>
      <w:r w:rsidR="00186039">
        <w:t xml:space="preserve"> </w:t>
      </w:r>
      <w:r w:rsidR="00186039" w:rsidRPr="00186039">
        <w:t>выявляются операции, имеющие признаки выполнения их</w:t>
      </w:r>
      <w:r w:rsidR="00186039">
        <w:t xml:space="preserve"> </w:t>
      </w:r>
      <w:r w:rsidR="00186039" w:rsidRPr="00186039">
        <w:t>не</w:t>
      </w:r>
      <w:r w:rsidR="00186039">
        <w:t xml:space="preserve"> </w:t>
      </w:r>
      <w:r w:rsidR="00186039" w:rsidRPr="00186039">
        <w:t>клиентами банка, а</w:t>
      </w:r>
      <w:r w:rsidR="00186039">
        <w:t xml:space="preserve"> </w:t>
      </w:r>
      <w:r w:rsidR="00186039" w:rsidRPr="00186039">
        <w:t>злоумышленниками.</w:t>
      </w:r>
      <w:proofErr w:type="gramEnd"/>
    </w:p>
    <w:p w:rsidR="00EB7B78" w:rsidRPr="00675C79" w:rsidRDefault="00EB7B78" w:rsidP="0046110B">
      <w:pPr>
        <w:pStyle w:val="zdv"/>
      </w:pPr>
      <w:r>
        <w:t xml:space="preserve">Первоначально внедрение системы </w:t>
      </w:r>
      <w:proofErr w:type="spellStart"/>
      <w:r>
        <w:t>антифрода</w:t>
      </w:r>
      <w:proofErr w:type="spellEnd"/>
      <w:r>
        <w:t xml:space="preserve"> давало прорывной эффект</w:t>
      </w:r>
      <w:r w:rsidRPr="00EB7B78">
        <w:t xml:space="preserve"> </w:t>
      </w:r>
      <w:r>
        <w:t>в борьбе с мошенничеством: обнаруживались практически все платежи, созданные не на устройстве клиента. Однако мошенники адаптировались, и со временем всё больше платежей стало приходить непосредственно с устрой</w:t>
      </w:r>
      <w:proofErr w:type="gramStart"/>
      <w:r>
        <w:t>ств кл</w:t>
      </w:r>
      <w:proofErr w:type="gramEnd"/>
      <w:r>
        <w:t xml:space="preserve">иентов. Практически возможны только два способа выполнить подобное: либо произвести удаленное подключение к устройству клиента и выполнить платеж, либо произвести так </w:t>
      </w:r>
      <w:proofErr w:type="gramStart"/>
      <w:r>
        <w:t>называемую</w:t>
      </w:r>
      <w:proofErr w:type="gramEnd"/>
      <w:r>
        <w:t xml:space="preserve"> </w:t>
      </w:r>
      <w:proofErr w:type="spellStart"/>
      <w:r>
        <w:t>автозамену</w:t>
      </w:r>
      <w:proofErr w:type="spellEnd"/>
      <w:r>
        <w:t xml:space="preserve"> реквизитов платежа, создаваемого непосредственно клиентом. И то, и другое проходит не без помощи вирусного программного обеспечения</w:t>
      </w:r>
      <w:r w:rsidRPr="00675C79">
        <w:t>.</w:t>
      </w:r>
    </w:p>
    <w:p w:rsidR="00EB7B78" w:rsidRPr="00EB7B78" w:rsidRDefault="00EB7B78" w:rsidP="0046110B">
      <w:pPr>
        <w:pStyle w:val="zdv"/>
      </w:pPr>
    </w:p>
    <w:p w:rsidR="0046110B" w:rsidRDefault="0046110B" w:rsidP="0046110B">
      <w:pPr>
        <w:pStyle w:val="zdv"/>
      </w:pPr>
      <w:r>
        <w:t xml:space="preserve">Простейшие </w:t>
      </w:r>
      <w:proofErr w:type="spellStart"/>
      <w:r>
        <w:t>антифрод</w:t>
      </w:r>
      <w:proofErr w:type="spellEnd"/>
      <w:r>
        <w:t>-решения используют обычные фильтры, аналогичные фильтрам в АБС (по сумме платежа, черным спискам и пр.), более сложные обучаются на накапливаемых данных о поведении клиентов, истории платежей и используют хорошо зарекомендовавшие себя методы машинного обучения, такие как поиск аномалий (отклонений от обычного поведения).</w:t>
      </w:r>
    </w:p>
    <w:p w:rsidR="0046110B" w:rsidRDefault="0046110B" w:rsidP="0046110B">
      <w:pPr>
        <w:pStyle w:val="zdv"/>
      </w:pPr>
      <w:r>
        <w:t>Все эти решения помимо их предназначения объединяет одно – они получают данные для анализа из некоторого источника и на основе определенных критериев делают свое заключение, считать ли платеж правомочным или мошенническим.</w:t>
      </w:r>
      <w:r w:rsidR="00C227F5">
        <w:t xml:space="preserve"> </w:t>
      </w:r>
      <w:r>
        <w:t xml:space="preserve">Основным источником данных для анализа является система ДБО, т.к. именно через нее идет общение клиента с банком и именно в ней формируются платежные документы и другие события, анализом которых и занимается </w:t>
      </w:r>
      <w:proofErr w:type="spellStart"/>
      <w:r>
        <w:t>антифрод</w:t>
      </w:r>
      <w:proofErr w:type="spellEnd"/>
      <w:r>
        <w:t xml:space="preserve">-система. Часть этих данных </w:t>
      </w:r>
      <w:proofErr w:type="spellStart"/>
      <w:r>
        <w:t>антифрод</w:t>
      </w:r>
      <w:proofErr w:type="spellEnd"/>
      <w:r>
        <w:t xml:space="preserve"> может получить и из АБС, но информация о многих событиях системы </w:t>
      </w:r>
      <w:hyperlink r:id="rId12" w:tooltip="ДБО" w:history="1">
        <w:r w:rsidRPr="00BD261E">
          <w:t>ДБО</w:t>
        </w:r>
      </w:hyperlink>
      <w:r w:rsidR="0043526F">
        <w:t xml:space="preserve"> </w:t>
      </w:r>
      <w:r w:rsidRPr="00BD261E">
        <w:t>до </w:t>
      </w:r>
      <w:hyperlink r:id="rId13" w:tooltip="АБС" w:history="1">
        <w:r w:rsidRPr="00BD261E">
          <w:t>АБС</w:t>
        </w:r>
      </w:hyperlink>
      <w:r>
        <w:t> не доходит, т.к. в АБС она просто не нужна.</w:t>
      </w:r>
    </w:p>
    <w:p w:rsidR="0046110B" w:rsidRDefault="0046110B" w:rsidP="0046110B">
      <w:pPr>
        <w:pStyle w:val="zdv"/>
      </w:pPr>
      <w:r>
        <w:t>Также источниками информации могут служить «черные списки», распространяемые анти-</w:t>
      </w:r>
      <w:proofErr w:type="spellStart"/>
      <w:r>
        <w:t>дроп</w:t>
      </w:r>
      <w:proofErr w:type="spellEnd"/>
      <w:r>
        <w:t xml:space="preserve"> клубом, </w:t>
      </w:r>
      <w:hyperlink r:id="rId14" w:tooltip="ЦБ РФ" w:history="1">
        <w:r w:rsidRPr="00BD261E">
          <w:t>ЦБ РФ</w:t>
        </w:r>
      </w:hyperlink>
      <w:r w:rsidRPr="00BD261E">
        <w:t> (</w:t>
      </w:r>
      <w:proofErr w:type="spellStart"/>
      <w:r w:rsidR="00830B60">
        <w:fldChar w:fldCharType="begin"/>
      </w:r>
      <w:r w:rsidR="00830B60">
        <w:instrText xml:space="preserve"> HYPERLINK "http://www.tadviser.ru/index.php/FinCERT" \o "FinCERT" </w:instrText>
      </w:r>
      <w:r w:rsidR="00830B60">
        <w:fldChar w:fldCharType="separate"/>
      </w:r>
      <w:r w:rsidRPr="00BD261E">
        <w:t>FinCERT</w:t>
      </w:r>
      <w:proofErr w:type="spellEnd"/>
      <w:r w:rsidR="00830B60">
        <w:fldChar w:fldCharType="end"/>
      </w:r>
      <w:r>
        <w:t>), базы проверки контрагентов, сформированные по открытым и закрытым источникам (например, от компании «</w:t>
      </w:r>
      <w:proofErr w:type="spellStart"/>
      <w:r>
        <w:t>Интегрум</w:t>
      </w:r>
      <w:proofErr w:type="spellEnd"/>
      <w:r>
        <w:t>»).</w:t>
      </w:r>
    </w:p>
    <w:p w:rsidR="0074414B" w:rsidRDefault="0074414B" w:rsidP="0074414B">
      <w:pPr>
        <w:pStyle w:val="zdv"/>
      </w:pPr>
      <w:r>
        <w:t xml:space="preserve">Среди анализируемых </w:t>
      </w:r>
      <w:proofErr w:type="spellStart"/>
      <w:r>
        <w:t>антифрод</w:t>
      </w:r>
      <w:proofErr w:type="spellEnd"/>
      <w:r>
        <w:t xml:space="preserve">-системой параметров и событий могут быть как данные </w:t>
      </w:r>
      <w:r w:rsidR="002764B2">
        <w:t xml:space="preserve">о </w:t>
      </w:r>
      <w:r>
        <w:t>получател</w:t>
      </w:r>
      <w:r w:rsidR="002764B2">
        <w:t>е</w:t>
      </w:r>
      <w:r>
        <w:t xml:space="preserve"> платежа</w:t>
      </w:r>
      <w:r w:rsidR="002764B2">
        <w:t xml:space="preserve">, банке получателя, назначении и сумме платежа, времени и периодичности платежей, остатке по счету, </w:t>
      </w:r>
      <w:r>
        <w:t>так и характеристики рабочего места отправителя платежа. Эти данные включают, в том числе, информацию о IP и MAC адресе, ошибках входа и изменения логина/пароля, изменении устройства, провайдера или домена в ходе сессии работы пользователя</w:t>
      </w:r>
      <w:r w:rsidR="006F64FE">
        <w:t xml:space="preserve">, наличии </w:t>
      </w:r>
      <w:r w:rsidR="007716B4">
        <w:t>возможности</w:t>
      </w:r>
      <w:r w:rsidR="006F64FE">
        <w:t xml:space="preserve"> </w:t>
      </w:r>
      <w:r w:rsidR="00220141">
        <w:t xml:space="preserve">для </w:t>
      </w:r>
      <w:r w:rsidR="006F64FE">
        <w:t xml:space="preserve">удаленного </w:t>
      </w:r>
      <w:r w:rsidR="00E02442">
        <w:t>д</w:t>
      </w:r>
      <w:r w:rsidR="006F64FE">
        <w:t>оступа</w:t>
      </w:r>
      <w:r>
        <w:t xml:space="preserve">, наличии обращений к зловредным доменам, </w:t>
      </w:r>
      <w:r w:rsidR="00C64D7D">
        <w:t xml:space="preserve">файлах </w:t>
      </w:r>
      <w:r w:rsidR="00C64D7D">
        <w:rPr>
          <w:lang w:val="en-US"/>
        </w:rPr>
        <w:t>cookie</w:t>
      </w:r>
      <w:r w:rsidR="00C64D7D">
        <w:t xml:space="preserve">, </w:t>
      </w:r>
      <w:proofErr w:type="spellStart"/>
      <w:r>
        <w:t>геоданны</w:t>
      </w:r>
      <w:r w:rsidR="00C64D7D">
        <w:t>х</w:t>
      </w:r>
      <w:proofErr w:type="spellEnd"/>
      <w:r>
        <w:t xml:space="preserve"> и прочие. В реально работающих системах </w:t>
      </w:r>
      <w:proofErr w:type="spellStart"/>
      <w:r>
        <w:t>фрод</w:t>
      </w:r>
      <w:proofErr w:type="spellEnd"/>
      <w:r>
        <w:t>-анализа таких параметров десятки.</w:t>
      </w:r>
    </w:p>
    <w:p w:rsidR="0074414B" w:rsidRDefault="0074414B" w:rsidP="0074414B">
      <w:pPr>
        <w:pStyle w:val="zdv"/>
      </w:pPr>
      <w:r>
        <w:t xml:space="preserve">Как отмечалось выше, </w:t>
      </w:r>
      <w:proofErr w:type="gramStart"/>
      <w:r>
        <w:t>в</w:t>
      </w:r>
      <w:proofErr w:type="gramEnd"/>
      <w:r>
        <w:t xml:space="preserve"> </w:t>
      </w:r>
      <w:proofErr w:type="gramStart"/>
      <w:r>
        <w:t>развитых</w:t>
      </w:r>
      <w:proofErr w:type="gramEnd"/>
      <w:r>
        <w:t xml:space="preserve"> </w:t>
      </w:r>
      <w:proofErr w:type="spellStart"/>
      <w:r>
        <w:t>антифрод</w:t>
      </w:r>
      <w:proofErr w:type="spellEnd"/>
      <w:r>
        <w:t>-системах данные анализируются в динамике, с учетом накапливаемой истории платежей по каждому клиенту и при каждом платеже или другом событии производится поиск аномалий, т.е. отклонений от стандартных паттернов поведения, присущих определенному клиенту.</w:t>
      </w:r>
    </w:p>
    <w:p w:rsidR="0074414B" w:rsidRDefault="0074414B" w:rsidP="0074414B">
      <w:pPr>
        <w:pStyle w:val="zdv"/>
      </w:pPr>
      <w:r>
        <w:t xml:space="preserve">Основными метриками эффективности </w:t>
      </w:r>
      <w:proofErr w:type="spellStart"/>
      <w:r>
        <w:t>антифрод</w:t>
      </w:r>
      <w:proofErr w:type="spellEnd"/>
      <w:r>
        <w:t xml:space="preserve">-систем является процент ложных срабатываний – положительных (правомочный платеж признан </w:t>
      </w:r>
      <w:proofErr w:type="spellStart"/>
      <w:r>
        <w:t>фродом</w:t>
      </w:r>
      <w:proofErr w:type="spellEnd"/>
      <w:r>
        <w:t xml:space="preserve">) и отрицательных </w:t>
      </w:r>
      <w:r>
        <w:lastRenderedPageBreak/>
        <w:t xml:space="preserve">(пропущен </w:t>
      </w:r>
      <w:proofErr w:type="spellStart"/>
      <w:r>
        <w:t>фродовый</w:t>
      </w:r>
      <w:proofErr w:type="spellEnd"/>
      <w:r>
        <w:t xml:space="preserve"> платеж). Обе метрики должны быть минимизированы, т.к. в случае положительного ложного срабатывания потребуется ручная проверка платежа (нагрузка на сотрудников банка) и до получателя деньги дойдут позже, а в случае отрицательного деньги будут украдены </w:t>
      </w:r>
      <w:proofErr w:type="spellStart"/>
      <w:r>
        <w:t>киберпреступниками</w:t>
      </w:r>
      <w:proofErr w:type="spellEnd"/>
      <w:r>
        <w:t xml:space="preserve">. Эти две метрики взаимосвязаны и зависят от настройки чувствительности системы или, по-другому, от порога срабатывания. Развитые </w:t>
      </w:r>
      <w:proofErr w:type="spellStart"/>
      <w:r>
        <w:t>антифрод</w:t>
      </w:r>
      <w:proofErr w:type="spellEnd"/>
      <w:r>
        <w:t xml:space="preserve">-системы при соответствующей настройке и </w:t>
      </w:r>
      <w:proofErr w:type="gramStart"/>
      <w:r>
        <w:t>опытном</w:t>
      </w:r>
      <w:proofErr w:type="gramEnd"/>
      <w:r>
        <w:t xml:space="preserve"> </w:t>
      </w:r>
      <w:proofErr w:type="spellStart"/>
      <w:r>
        <w:t>фрод</w:t>
      </w:r>
      <w:proofErr w:type="spellEnd"/>
      <w:r>
        <w:t>-аналитике позволяют снизить положительные ложные срабатывания до менее 1%, а отрицательные свести практически к 0.</w:t>
      </w:r>
    </w:p>
    <w:p w:rsidR="00DE143A" w:rsidRPr="00DE143A" w:rsidRDefault="00DE143A" w:rsidP="00DE143A">
      <w:pPr>
        <w:pStyle w:val="1"/>
        <w:jc w:val="center"/>
        <w:rPr>
          <w:sz w:val="32"/>
          <w:szCs w:val="32"/>
        </w:rPr>
      </w:pPr>
      <w:bookmarkStart w:id="5" w:name="_Toc2251445"/>
      <w:r w:rsidRPr="00DE143A">
        <w:rPr>
          <w:sz w:val="32"/>
          <w:szCs w:val="32"/>
        </w:rPr>
        <w:t>ЗАКЛЮЧЕНИЕ</w:t>
      </w:r>
      <w:bookmarkEnd w:id="5"/>
    </w:p>
    <w:p w:rsidR="0067219F" w:rsidRDefault="00E0315D" w:rsidP="00FB3666">
      <w:pPr>
        <w:pStyle w:val="zdv"/>
      </w:pPr>
      <w:r>
        <w:t>О</w:t>
      </w:r>
      <w:r w:rsidR="000D4B87" w:rsidRPr="000D4B87">
        <w:t xml:space="preserve">беспечение информационной безопасности в банках – задача, которая никогда не может быть решена полностью на 100%, поскольку </w:t>
      </w:r>
      <w:proofErr w:type="spellStart"/>
      <w:r w:rsidR="000D4B87" w:rsidRPr="000D4B87">
        <w:t>киберпреступники</w:t>
      </w:r>
      <w:proofErr w:type="spellEnd"/>
      <w:r w:rsidR="000D4B87" w:rsidRPr="000D4B87">
        <w:t xml:space="preserve"> неустанно ищут новые инструменты и подходы для того, чтобы похищать либо средства со счетов банковских организаций, либо деньги со счетов банковских клиентов.</w:t>
      </w:r>
      <w:r w:rsidR="000D4B87" w:rsidRPr="0008702D">
        <w:t xml:space="preserve"> </w:t>
      </w:r>
      <w:r w:rsidR="00B917CC">
        <w:t>У</w:t>
      </w:r>
      <w:r w:rsidR="00B917CC" w:rsidRPr="00B917CC">
        <w:t>лучшения</w:t>
      </w:r>
      <w:r w:rsidR="00B917CC">
        <w:t xml:space="preserve"> систем </w:t>
      </w:r>
      <w:r w:rsidR="00B917CC" w:rsidRPr="000D4B87">
        <w:t>информационной безопасности</w:t>
      </w:r>
      <w:r w:rsidR="00B917CC" w:rsidRPr="00B917CC">
        <w:t>, даже если они есть, носят временный характер, а мошенники не исчезают, и, более того, они демонстрируют гибкость в своих подходах, постоянно меняют цели и инструменты их достижения.</w:t>
      </w:r>
      <w:r w:rsidR="00B917CC">
        <w:t xml:space="preserve"> </w:t>
      </w:r>
      <w:r w:rsidR="00A54FEA" w:rsidRPr="00A54FEA">
        <w:t xml:space="preserve">А также </w:t>
      </w:r>
      <w:proofErr w:type="spellStart"/>
      <w:r w:rsidR="00A54FEA" w:rsidRPr="00A54FEA">
        <w:t>киберпреступники</w:t>
      </w:r>
      <w:proofErr w:type="spellEnd"/>
      <w:r w:rsidR="00A54FEA" w:rsidRPr="00A54FEA">
        <w:t xml:space="preserve"> в некотором смысле даже преподнесли банковскому сообществу урок, очень быстро наладив эффективное взаимодействие между собой, постоянный обмен информацией об исходных кодах, уязвимостях банковских систем и т.д.</w:t>
      </w:r>
      <w:r w:rsidR="00A54FEA">
        <w:t xml:space="preserve"> </w:t>
      </w:r>
    </w:p>
    <w:p w:rsidR="0067219F" w:rsidRDefault="0067219F" w:rsidP="00FB3666">
      <w:pPr>
        <w:pStyle w:val="zdv"/>
      </w:pPr>
      <w:r>
        <w:t>Н</w:t>
      </w:r>
      <w:r w:rsidRPr="0067219F">
        <w:t xml:space="preserve">едавно вышло постановление ЦБ, которое требует не только передавать информацию о сомнительных платежах в </w:t>
      </w:r>
      <w:proofErr w:type="spellStart"/>
      <w:r w:rsidRPr="0067219F">
        <w:t>Росфинмониторинг</w:t>
      </w:r>
      <w:proofErr w:type="spellEnd"/>
      <w:r w:rsidRPr="0067219F">
        <w:t xml:space="preserve">, но и останавливать их. </w:t>
      </w:r>
      <w:r w:rsidR="00776E92" w:rsidRPr="0008702D">
        <w:t xml:space="preserve">В частности, была внесена принципиальная правка — если банкам раньше предоставлялось право блокировать подозрительные переводы, тогда как сейчас это вменяется им в обязанность. Таким образом, Банки </w:t>
      </w:r>
      <w:r w:rsidR="00B77F56" w:rsidRPr="0008702D">
        <w:t xml:space="preserve">будут </w:t>
      </w:r>
      <w:r w:rsidR="00776E92" w:rsidRPr="0008702D">
        <w:t>обязаны блокировать операции по переводу денег на срок до двух дней, если транзакция покажется им подозрительной, т.е. сработает система обнаружения мошеннических операций.</w:t>
      </w:r>
      <w:r w:rsidR="00AD0A0E">
        <w:t xml:space="preserve"> </w:t>
      </w:r>
      <w:r w:rsidR="008369F2">
        <w:t>Однако</w:t>
      </w:r>
      <w:r w:rsidR="004262C8">
        <w:t>,</w:t>
      </w:r>
      <w:r w:rsidR="008369F2">
        <w:t xml:space="preserve"> </w:t>
      </w:r>
      <w:r w:rsidR="004262C8">
        <w:t xml:space="preserve">не смотря на то, что решение проблем </w:t>
      </w:r>
      <w:r w:rsidR="0056419A">
        <w:t xml:space="preserve">обеспечения </w:t>
      </w:r>
      <w:r w:rsidR="004262C8">
        <w:t xml:space="preserve">информационной безопасности Банки берут на себя, </w:t>
      </w:r>
      <w:r w:rsidR="00EE1653">
        <w:t>главная задача</w:t>
      </w:r>
      <w:r w:rsidR="008369F2">
        <w:t xml:space="preserve"> —</w:t>
      </w:r>
      <w:r w:rsidR="00FB3666" w:rsidRPr="00FB3666">
        <w:t xml:space="preserve"> это научить </w:t>
      </w:r>
      <w:r w:rsidR="00633CF8">
        <w:t xml:space="preserve">самих </w:t>
      </w:r>
      <w:r w:rsidR="00EC24B8">
        <w:t xml:space="preserve">пользователей систем </w:t>
      </w:r>
      <w:r w:rsidR="008169F4">
        <w:t xml:space="preserve">ДБО </w:t>
      </w:r>
      <w:r w:rsidR="00FB3666" w:rsidRPr="00FB3666">
        <w:t>управлять рисками, которые сопровождают развитие цифровых финансовых услуг</w:t>
      </w:r>
      <w:r w:rsidR="0008702D">
        <w:t>.</w:t>
      </w:r>
    </w:p>
    <w:p w:rsidR="0067219F" w:rsidRDefault="0067219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br w:type="page"/>
      </w:r>
    </w:p>
    <w:p w:rsidR="00DC6FDA" w:rsidRPr="00E74741" w:rsidRDefault="00DC6FDA" w:rsidP="00ED3E35">
      <w:pPr>
        <w:pStyle w:val="1"/>
        <w:jc w:val="center"/>
        <w:rPr>
          <w:caps/>
          <w:sz w:val="32"/>
          <w:szCs w:val="32"/>
        </w:rPr>
      </w:pPr>
      <w:bookmarkStart w:id="6" w:name="_Toc2251446"/>
      <w:r w:rsidRPr="00E74741">
        <w:rPr>
          <w:caps/>
          <w:sz w:val="32"/>
          <w:szCs w:val="32"/>
        </w:rPr>
        <w:lastRenderedPageBreak/>
        <w:t>Список использованных источников</w:t>
      </w:r>
      <w:bookmarkEnd w:id="6"/>
    </w:p>
    <w:p w:rsidR="004A076E" w:rsidRPr="00036C22" w:rsidRDefault="004A076E" w:rsidP="00B43CFA">
      <w:pPr>
        <w:pStyle w:val="a9"/>
        <w:numPr>
          <w:ilvl w:val="0"/>
          <w:numId w:val="1"/>
        </w:numPr>
        <w:spacing w:after="0" w:line="360" w:lineRule="auto"/>
        <w:ind w:left="714" w:hanging="357"/>
        <w:rPr>
          <w:rStyle w:val="a5"/>
          <w:rFonts w:ascii="Arial" w:hAnsi="Arial" w:cs="Arial"/>
          <w:color w:val="333333"/>
          <w:sz w:val="18"/>
          <w:szCs w:val="18"/>
          <w:u w:val="none"/>
          <w:lang w:val="en-US"/>
        </w:rPr>
      </w:pPr>
      <w:r w:rsidRPr="004A076E">
        <w:rPr>
          <w:rStyle w:val="zdv0"/>
        </w:rPr>
        <w:t xml:space="preserve">Атаки на системы ДБО </w:t>
      </w:r>
      <w:r w:rsidR="00036C22" w:rsidRPr="00036C22">
        <w:rPr>
          <w:rStyle w:val="zdv0"/>
        </w:rPr>
        <w:t>[</w:t>
      </w:r>
      <w:r w:rsidR="00036C22">
        <w:rPr>
          <w:rStyle w:val="zdv0"/>
        </w:rPr>
        <w:t>Электронный ресурс</w:t>
      </w:r>
      <w:r w:rsidR="00036C22" w:rsidRPr="00036C22">
        <w:rPr>
          <w:rStyle w:val="zdv0"/>
        </w:rPr>
        <w:t>]</w:t>
      </w:r>
      <w:r w:rsidR="00036C22">
        <w:rPr>
          <w:rStyle w:val="zdv0"/>
        </w:rPr>
        <w:t>.</w:t>
      </w:r>
      <w:r w:rsidR="00036C22" w:rsidRPr="00036C22">
        <w:rPr>
          <w:rStyle w:val="zdv0"/>
        </w:rPr>
        <w:t xml:space="preserve"> </w:t>
      </w:r>
      <w:r w:rsidR="00036C22">
        <w:rPr>
          <w:rStyle w:val="zdv0"/>
          <w:lang w:val="en-US"/>
        </w:rPr>
        <w:t xml:space="preserve">URL: </w:t>
      </w:r>
      <w:hyperlink r:id="rId15" w:history="1"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securitylab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analytics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/485467.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php</w:t>
        </w:r>
      </w:hyperlink>
    </w:p>
    <w:p w:rsidR="007A4B5D" w:rsidRPr="00036C22" w:rsidRDefault="009F4D77" w:rsidP="00B43CFA">
      <w:pPr>
        <w:pStyle w:val="zdv"/>
        <w:numPr>
          <w:ilvl w:val="0"/>
          <w:numId w:val="1"/>
        </w:numPr>
        <w:spacing w:after="0"/>
        <w:ind w:left="714" w:hanging="357"/>
        <w:jc w:val="left"/>
        <w:rPr>
          <w:rStyle w:val="a5"/>
          <w:color w:val="auto"/>
          <w:u w:val="none"/>
          <w:lang w:val="en-US"/>
        </w:rPr>
      </w:pPr>
      <w:r w:rsidRPr="009F4D77">
        <w:t>Анти-</w:t>
      </w:r>
      <w:proofErr w:type="spellStart"/>
      <w:r w:rsidRPr="009F4D77">
        <w:t>фрод</w:t>
      </w:r>
      <w:proofErr w:type="spellEnd"/>
      <w:r w:rsidRPr="009F4D77">
        <w:t xml:space="preserve"> системы и как они работают</w:t>
      </w:r>
      <w:r>
        <w:t xml:space="preserve"> </w:t>
      </w:r>
      <w:r w:rsidR="00036C22" w:rsidRPr="00036C22">
        <w:rPr>
          <w:rStyle w:val="zdv0"/>
        </w:rPr>
        <w:t>[</w:t>
      </w:r>
      <w:r w:rsidR="00036C22">
        <w:rPr>
          <w:rStyle w:val="zdv0"/>
        </w:rPr>
        <w:t>Электронный ресурс</w:t>
      </w:r>
      <w:r w:rsidR="00036C22" w:rsidRPr="00036C22">
        <w:rPr>
          <w:rStyle w:val="zdv0"/>
        </w:rPr>
        <w:t>]</w:t>
      </w:r>
      <w:r w:rsidR="00036C22">
        <w:rPr>
          <w:rStyle w:val="zdv0"/>
        </w:rPr>
        <w:t>.</w:t>
      </w:r>
      <w:r w:rsidR="00036C22" w:rsidRPr="00036C22">
        <w:rPr>
          <w:rStyle w:val="zdv0"/>
        </w:rPr>
        <w:t xml:space="preserve"> </w:t>
      </w:r>
      <w:r w:rsidR="00036C22">
        <w:rPr>
          <w:rStyle w:val="zdv0"/>
          <w:lang w:val="en-US"/>
        </w:rPr>
        <w:t xml:space="preserve">URL: </w:t>
      </w:r>
      <w:hyperlink r:id="rId16" w:history="1">
        <w:r w:rsidRPr="00036C22">
          <w:rPr>
            <w:rStyle w:val="a5"/>
            <w:lang w:val="en-US"/>
          </w:rPr>
          <w:t>https://www.securitylab.ru/blog/personal/Informacionnaya_bezopasnost_v_detalyah/339929.php</w:t>
        </w:r>
      </w:hyperlink>
    </w:p>
    <w:p w:rsidR="007A4B5D" w:rsidRPr="004A076E" w:rsidRDefault="004A076E" w:rsidP="00B43CFA">
      <w:pPr>
        <w:pStyle w:val="zdv"/>
        <w:numPr>
          <w:ilvl w:val="0"/>
          <w:numId w:val="1"/>
        </w:numPr>
        <w:spacing w:after="0"/>
        <w:ind w:left="714" w:hanging="357"/>
        <w:jc w:val="left"/>
        <w:rPr>
          <w:rStyle w:val="zdv0"/>
        </w:rPr>
      </w:pPr>
      <w:r w:rsidRPr="004A076E">
        <w:rPr>
          <w:rStyle w:val="zdv0"/>
        </w:rPr>
        <w:t>Безопасность ДБО</w:t>
      </w:r>
      <w:r w:rsidR="00385A39" w:rsidRPr="004A076E">
        <w:rPr>
          <w:rStyle w:val="zdv0"/>
        </w:rPr>
        <w:t xml:space="preserve"> </w:t>
      </w:r>
      <w:r w:rsidR="00385A39" w:rsidRPr="00036C22">
        <w:rPr>
          <w:rStyle w:val="zdv0"/>
        </w:rPr>
        <w:t>[</w:t>
      </w:r>
      <w:r w:rsidR="00385A39">
        <w:rPr>
          <w:rStyle w:val="zdv0"/>
        </w:rPr>
        <w:t>Электронный ресурс</w:t>
      </w:r>
      <w:r w:rsidR="00385A39" w:rsidRPr="00036C22">
        <w:rPr>
          <w:rStyle w:val="zdv0"/>
        </w:rPr>
        <w:t>]</w:t>
      </w:r>
      <w:r w:rsidR="00385A39">
        <w:rPr>
          <w:rStyle w:val="zdv0"/>
        </w:rPr>
        <w:t>.</w:t>
      </w:r>
      <w:r w:rsidR="00385A39" w:rsidRPr="00036C22">
        <w:rPr>
          <w:rStyle w:val="zdv0"/>
        </w:rPr>
        <w:t xml:space="preserve"> </w:t>
      </w:r>
      <w:r w:rsidR="00385A39">
        <w:rPr>
          <w:rStyle w:val="zdv0"/>
          <w:lang w:val="en-US"/>
        </w:rPr>
        <w:t>URL</w:t>
      </w:r>
      <w:r w:rsidR="00385A39" w:rsidRPr="00385A39">
        <w:rPr>
          <w:rStyle w:val="zdv0"/>
        </w:rPr>
        <w:t xml:space="preserve">: </w:t>
      </w:r>
      <w:r w:rsidRPr="004A076E">
        <w:rPr>
          <w:rStyle w:val="zdv0"/>
        </w:rPr>
        <w:t xml:space="preserve"> </w:t>
      </w:r>
      <w:hyperlink r:id="rId17" w:history="1">
        <w:r w:rsidR="00412884" w:rsidRPr="007A4B5D">
          <w:rPr>
            <w:rStyle w:val="a5"/>
          </w:rPr>
          <w:t>http://bankir.ru/publikacii/20120604/bezopasnost-dbo-zavisit-i-ot-banka-i-ot-klienta-10001755/</w:t>
        </w:r>
      </w:hyperlink>
    </w:p>
    <w:p w:rsidR="00412884" w:rsidRPr="00385A39" w:rsidRDefault="004A076E" w:rsidP="00B43CFA">
      <w:pPr>
        <w:pStyle w:val="a9"/>
        <w:numPr>
          <w:ilvl w:val="0"/>
          <w:numId w:val="1"/>
        </w:numPr>
        <w:spacing w:after="0" w:line="360" w:lineRule="auto"/>
        <w:rPr>
          <w:rStyle w:val="zdv0"/>
          <w:lang w:val="en-US"/>
        </w:rPr>
      </w:pPr>
      <w:r w:rsidRPr="004A076E">
        <w:rPr>
          <w:rStyle w:val="zdv0"/>
        </w:rPr>
        <w:t xml:space="preserve">Безопасность систем дистанционного банковского обслуживания </w:t>
      </w:r>
      <w:r w:rsidR="00385A39" w:rsidRPr="00036C22">
        <w:rPr>
          <w:rStyle w:val="zdv0"/>
        </w:rPr>
        <w:t>[</w:t>
      </w:r>
      <w:r w:rsidR="00385A39">
        <w:rPr>
          <w:rStyle w:val="zdv0"/>
        </w:rPr>
        <w:t>Электронный ресурс</w:t>
      </w:r>
      <w:r w:rsidR="00385A39" w:rsidRPr="00036C22">
        <w:rPr>
          <w:rStyle w:val="zdv0"/>
        </w:rPr>
        <w:t>]</w:t>
      </w:r>
      <w:r w:rsidR="00385A39">
        <w:rPr>
          <w:rStyle w:val="zdv0"/>
        </w:rPr>
        <w:t>.</w:t>
      </w:r>
      <w:r w:rsidR="00385A39" w:rsidRPr="00036C22">
        <w:rPr>
          <w:rStyle w:val="zdv0"/>
        </w:rPr>
        <w:t xml:space="preserve"> </w:t>
      </w:r>
      <w:r w:rsidR="00385A39">
        <w:rPr>
          <w:rStyle w:val="zdv0"/>
          <w:lang w:val="en-US"/>
        </w:rPr>
        <w:t xml:space="preserve">URL: </w:t>
      </w:r>
      <w:hyperlink r:id="rId18" w:history="1">
        <w:r w:rsidR="00412884" w:rsidRPr="00385A3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http://bankir.ru/publikacii/20120305/bezopasnost-sistem-distantsionnogo-bankovskogo-obsluzhivaniya-10001328/</w:t>
        </w:r>
      </w:hyperlink>
    </w:p>
    <w:p w:rsidR="00412884" w:rsidRPr="004A076E" w:rsidRDefault="004A076E" w:rsidP="00B43CFA">
      <w:pPr>
        <w:pStyle w:val="a9"/>
        <w:numPr>
          <w:ilvl w:val="0"/>
          <w:numId w:val="1"/>
        </w:numPr>
        <w:spacing w:after="0" w:line="360" w:lineRule="auto"/>
        <w:rPr>
          <w:rStyle w:val="zdv0"/>
        </w:rPr>
      </w:pPr>
      <w:r w:rsidRPr="004A076E">
        <w:rPr>
          <w:rStyle w:val="zdv0"/>
        </w:rPr>
        <w:t>Безопасность</w:t>
      </w:r>
      <w:r w:rsidR="00385A39" w:rsidRPr="004A076E">
        <w:rPr>
          <w:rStyle w:val="zdv0"/>
        </w:rPr>
        <w:t xml:space="preserve"> </w:t>
      </w:r>
      <w:r w:rsidR="00385A39" w:rsidRPr="00036C22">
        <w:rPr>
          <w:rStyle w:val="zdv0"/>
        </w:rPr>
        <w:t>[</w:t>
      </w:r>
      <w:r w:rsidR="00385A39">
        <w:rPr>
          <w:rStyle w:val="zdv0"/>
        </w:rPr>
        <w:t>Электронный ресурс</w:t>
      </w:r>
      <w:r w:rsidR="00385A39" w:rsidRPr="00036C22">
        <w:rPr>
          <w:rStyle w:val="zdv0"/>
        </w:rPr>
        <w:t>]</w:t>
      </w:r>
      <w:r w:rsidR="00385A39">
        <w:rPr>
          <w:rStyle w:val="zdv0"/>
        </w:rPr>
        <w:t>.</w:t>
      </w:r>
      <w:r w:rsidR="00385A39" w:rsidRPr="00036C22">
        <w:rPr>
          <w:rStyle w:val="zdv0"/>
        </w:rPr>
        <w:t xml:space="preserve"> </w:t>
      </w:r>
      <w:r w:rsidR="00385A39">
        <w:rPr>
          <w:rStyle w:val="zdv0"/>
          <w:lang w:val="en-US"/>
        </w:rPr>
        <w:t>URL</w:t>
      </w:r>
      <w:r w:rsidR="00385A39" w:rsidRPr="00385A39">
        <w:rPr>
          <w:rStyle w:val="zdv0"/>
        </w:rPr>
        <w:t xml:space="preserve">: </w:t>
      </w:r>
      <w:r w:rsidRPr="004A076E">
        <w:t xml:space="preserve"> </w:t>
      </w:r>
      <w:hyperlink r:id="rId19" w:history="1">
        <w:r w:rsidR="00412884" w:rsidRPr="00AC658A">
          <w:rPr>
            <w:rStyle w:val="a5"/>
            <w:rFonts w:ascii="Times New Roman" w:hAnsi="Times New Roman" w:cs="Times New Roman"/>
            <w:sz w:val="24"/>
            <w:szCs w:val="24"/>
          </w:rPr>
          <w:t>http://www.bankdbo.ru/bezopasnost</w:t>
        </w:r>
      </w:hyperlink>
    </w:p>
    <w:p w:rsidR="00412884" w:rsidRPr="004A076E" w:rsidRDefault="004A076E" w:rsidP="00B43CFA">
      <w:pPr>
        <w:pStyle w:val="a9"/>
        <w:numPr>
          <w:ilvl w:val="0"/>
          <w:numId w:val="1"/>
        </w:numPr>
        <w:spacing w:after="0" w:line="360" w:lineRule="auto"/>
        <w:rPr>
          <w:rStyle w:val="zdv0"/>
        </w:rPr>
      </w:pPr>
      <w:r w:rsidRPr="004A076E">
        <w:rPr>
          <w:rStyle w:val="zdv0"/>
        </w:rPr>
        <w:t xml:space="preserve">Что умеет ANTI-FRAUD в ДБО? </w:t>
      </w:r>
      <w:r w:rsidR="00385A39" w:rsidRPr="00036C22">
        <w:rPr>
          <w:rStyle w:val="zdv0"/>
        </w:rPr>
        <w:t>[</w:t>
      </w:r>
      <w:r w:rsidR="00385A39">
        <w:rPr>
          <w:rStyle w:val="zdv0"/>
        </w:rPr>
        <w:t>Электронный ресурс</w:t>
      </w:r>
      <w:r w:rsidR="00385A39" w:rsidRPr="00036C22">
        <w:rPr>
          <w:rStyle w:val="zdv0"/>
        </w:rPr>
        <w:t>]</w:t>
      </w:r>
      <w:r w:rsidR="00385A39">
        <w:rPr>
          <w:rStyle w:val="zdv0"/>
        </w:rPr>
        <w:t>.</w:t>
      </w:r>
      <w:r w:rsidR="00385A39" w:rsidRPr="00036C22">
        <w:rPr>
          <w:rStyle w:val="zdv0"/>
        </w:rPr>
        <w:t xml:space="preserve"> </w:t>
      </w:r>
      <w:r w:rsidR="00385A39">
        <w:rPr>
          <w:rStyle w:val="zdv0"/>
          <w:lang w:val="en-US"/>
        </w:rPr>
        <w:t>URL</w:t>
      </w:r>
      <w:r w:rsidR="00385A39" w:rsidRPr="00385A39">
        <w:rPr>
          <w:rStyle w:val="zdv0"/>
        </w:rPr>
        <w:t>:</w:t>
      </w:r>
      <w:r w:rsidRPr="004A076E">
        <w:rPr>
          <w:rStyle w:val="zdv0"/>
        </w:rPr>
        <w:br/>
      </w:r>
      <w:hyperlink r:id="rId20" w:history="1">
        <w:r w:rsidR="00412884" w:rsidRPr="00AC658A">
          <w:rPr>
            <w:rStyle w:val="a5"/>
            <w:rFonts w:ascii="Times New Roman" w:hAnsi="Times New Roman" w:cs="Times New Roman"/>
            <w:sz w:val="24"/>
            <w:szCs w:val="24"/>
          </w:rPr>
          <w:t>http://www.bssys.com/about/press-center/articles/chto-umeet-anti-fraud-v-dbo/</w:t>
        </w:r>
      </w:hyperlink>
    </w:p>
    <w:p w:rsidR="00412884" w:rsidRPr="00AC658A" w:rsidRDefault="004A076E" w:rsidP="00B43CFA">
      <w:pPr>
        <w:pStyle w:val="a9"/>
        <w:numPr>
          <w:ilvl w:val="0"/>
          <w:numId w:val="1"/>
        </w:numPr>
        <w:spacing w:after="0" w:line="360" w:lineRule="auto"/>
        <w:rPr>
          <w:rStyle w:val="zdv0"/>
        </w:rPr>
      </w:pPr>
      <w:r w:rsidRPr="004A076E">
        <w:rPr>
          <w:rStyle w:val="zdv0"/>
        </w:rPr>
        <w:t>FRAUD-Анализ</w:t>
      </w:r>
      <w:r w:rsidR="00385A39" w:rsidRPr="004A076E">
        <w:rPr>
          <w:rStyle w:val="zdv0"/>
        </w:rPr>
        <w:t xml:space="preserve"> </w:t>
      </w:r>
      <w:r w:rsidR="00385A39" w:rsidRPr="00036C22">
        <w:rPr>
          <w:rStyle w:val="zdv0"/>
        </w:rPr>
        <w:t>[</w:t>
      </w:r>
      <w:r w:rsidR="00385A39">
        <w:rPr>
          <w:rStyle w:val="zdv0"/>
        </w:rPr>
        <w:t>Электронный ресурс</w:t>
      </w:r>
      <w:r w:rsidR="00385A39" w:rsidRPr="00036C22">
        <w:rPr>
          <w:rStyle w:val="zdv0"/>
        </w:rPr>
        <w:t>]</w:t>
      </w:r>
      <w:r w:rsidR="00385A39">
        <w:rPr>
          <w:rStyle w:val="zdv0"/>
        </w:rPr>
        <w:t>.</w:t>
      </w:r>
      <w:r w:rsidR="00385A39" w:rsidRPr="00036C22">
        <w:rPr>
          <w:rStyle w:val="zdv0"/>
        </w:rPr>
        <w:t xml:space="preserve"> </w:t>
      </w:r>
      <w:r w:rsidR="00385A39">
        <w:rPr>
          <w:rStyle w:val="zdv0"/>
          <w:lang w:val="en-US"/>
        </w:rPr>
        <w:t>URL</w:t>
      </w:r>
      <w:r w:rsidR="00385A39" w:rsidRPr="00385A39">
        <w:rPr>
          <w:rStyle w:val="zdv0"/>
        </w:rPr>
        <w:t xml:space="preserve">: </w:t>
      </w:r>
      <w:r w:rsidRPr="004A076E">
        <w:rPr>
          <w:rStyle w:val="zdv0"/>
        </w:rPr>
        <w:t xml:space="preserve"> </w:t>
      </w:r>
      <w:hyperlink r:id="rId21" w:history="1">
        <w:r w:rsidR="00A05E05" w:rsidRPr="00AC658A">
          <w:rPr>
            <w:rStyle w:val="a5"/>
            <w:rFonts w:ascii="Times New Roman" w:hAnsi="Times New Roman" w:cs="Times New Roman"/>
            <w:sz w:val="24"/>
            <w:szCs w:val="24"/>
          </w:rPr>
          <w:t>http://www.bssys.com/solutions/financial-institutions/fraud/</w:t>
        </w:r>
      </w:hyperlink>
    </w:p>
    <w:p w:rsidR="00472BE5" w:rsidRPr="00472BE5" w:rsidRDefault="00472BE5" w:rsidP="00B43CFA">
      <w:pPr>
        <w:pStyle w:val="a9"/>
        <w:numPr>
          <w:ilvl w:val="0"/>
          <w:numId w:val="1"/>
        </w:numPr>
        <w:spacing w:after="0" w:line="360" w:lineRule="auto"/>
        <w:rPr>
          <w:rStyle w:val="zdv0"/>
        </w:rPr>
      </w:pPr>
      <w:r w:rsidRPr="004A076E">
        <w:rPr>
          <w:rStyle w:val="zdv0"/>
        </w:rPr>
        <w:t xml:space="preserve">Как выбрать </w:t>
      </w:r>
      <w:proofErr w:type="spellStart"/>
      <w:r w:rsidRPr="004A076E">
        <w:rPr>
          <w:rStyle w:val="zdv0"/>
        </w:rPr>
        <w:t>антифрод</w:t>
      </w:r>
      <w:proofErr w:type="spellEnd"/>
      <w:r w:rsidRPr="004A076E">
        <w:rPr>
          <w:rStyle w:val="zdv0"/>
        </w:rPr>
        <w:t>-систему для банка?</w:t>
      </w:r>
      <w:r w:rsidRPr="004A076E">
        <w:rPr>
          <w:rStyle w:val="mw-headline"/>
        </w:rPr>
        <w:t xml:space="preserve"> </w:t>
      </w:r>
      <w:r w:rsidR="00385A39" w:rsidRPr="00036C22">
        <w:rPr>
          <w:rStyle w:val="zdv0"/>
        </w:rPr>
        <w:t>[</w:t>
      </w:r>
      <w:r w:rsidR="00385A39">
        <w:rPr>
          <w:rStyle w:val="zdv0"/>
        </w:rPr>
        <w:t>Электронный ресурс</w:t>
      </w:r>
      <w:r w:rsidR="00385A39" w:rsidRPr="00036C22">
        <w:rPr>
          <w:rStyle w:val="zdv0"/>
        </w:rPr>
        <w:t>]</w:t>
      </w:r>
      <w:r w:rsidR="00385A39">
        <w:rPr>
          <w:rStyle w:val="zdv0"/>
        </w:rPr>
        <w:t>.</w:t>
      </w:r>
      <w:r w:rsidR="00385A39" w:rsidRPr="00036C22">
        <w:rPr>
          <w:rStyle w:val="zdv0"/>
        </w:rPr>
        <w:t xml:space="preserve"> </w:t>
      </w:r>
      <w:r w:rsidR="00385A39">
        <w:rPr>
          <w:rStyle w:val="zdv0"/>
          <w:lang w:val="en-US"/>
        </w:rPr>
        <w:t>URL</w:t>
      </w:r>
      <w:r w:rsidR="00385A39" w:rsidRPr="00385A39">
        <w:rPr>
          <w:rStyle w:val="zdv0"/>
        </w:rPr>
        <w:t xml:space="preserve">: </w:t>
      </w:r>
      <w:hyperlink r:id="rId22" w:history="1">
        <w:r w:rsidR="002764B2" w:rsidRPr="002764B2">
          <w:rPr>
            <w:rStyle w:val="a5"/>
          </w:rPr>
          <w:t>http://www.tadviser.ru/index.php/Статья:Как_выбрать_антифрод-систему_для_банка</w:t>
        </w:r>
      </w:hyperlink>
    </w:p>
    <w:sectPr w:rsidR="00472BE5" w:rsidRPr="00472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4D4" w:rsidRDefault="006834D4" w:rsidP="00293DA9">
      <w:pPr>
        <w:spacing w:after="0" w:line="240" w:lineRule="auto"/>
      </w:pPr>
      <w:r>
        <w:separator/>
      </w:r>
    </w:p>
  </w:endnote>
  <w:endnote w:type="continuationSeparator" w:id="0">
    <w:p w:rsidR="006834D4" w:rsidRDefault="006834D4" w:rsidP="0029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5679385"/>
      <w:docPartObj>
        <w:docPartGallery w:val="Page Numbers (Bottom of Page)"/>
        <w:docPartUnique/>
      </w:docPartObj>
    </w:sdtPr>
    <w:sdtEndPr/>
    <w:sdtContent>
      <w:p w:rsidR="00F833D5" w:rsidRDefault="00F833D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A5F">
          <w:rPr>
            <w:noProof/>
          </w:rPr>
          <w:t>2</w:t>
        </w:r>
        <w:r>
          <w:fldChar w:fldCharType="end"/>
        </w:r>
      </w:p>
    </w:sdtContent>
  </w:sdt>
  <w:p w:rsidR="00F833D5" w:rsidRDefault="00F833D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4D4" w:rsidRDefault="006834D4" w:rsidP="00293DA9">
      <w:pPr>
        <w:spacing w:after="0" w:line="240" w:lineRule="auto"/>
      </w:pPr>
      <w:r>
        <w:separator/>
      </w:r>
    </w:p>
  </w:footnote>
  <w:footnote w:type="continuationSeparator" w:id="0">
    <w:p w:rsidR="006834D4" w:rsidRDefault="006834D4" w:rsidP="00293DA9">
      <w:pPr>
        <w:spacing w:after="0" w:line="240" w:lineRule="auto"/>
      </w:pPr>
      <w:r>
        <w:continuationSeparator/>
      </w:r>
    </w:p>
  </w:footnote>
  <w:footnote w:id="1">
    <w:p w:rsidR="00293DA9" w:rsidRPr="00293DA9" w:rsidRDefault="00293DA9">
      <w:pPr>
        <w:pStyle w:val="ae"/>
      </w:pPr>
      <w:r>
        <w:rPr>
          <w:rStyle w:val="af0"/>
        </w:rPr>
        <w:footnoteRef/>
      </w:r>
      <w:r>
        <w:t xml:space="preserve"> По данным издания «</w:t>
      </w:r>
      <w:hyperlink r:id="rId1" w:history="1">
        <w:r w:rsidRPr="00293DA9">
          <w:t>Российская газета</w:t>
        </w:r>
        <w:r>
          <w:t>»</w:t>
        </w:r>
        <w:r w:rsidRPr="00293DA9">
          <w:t xml:space="preserve"> - Федеральный выпуск №7122 (254)</w:t>
        </w:r>
      </w:hyperlink>
      <w:r w:rsidR="00592E80">
        <w:t xml:space="preserve"> от </w:t>
      </w:r>
      <w:r w:rsidR="00592E80" w:rsidRPr="00592E80">
        <w:t>10 ноября 2016 г.</w:t>
      </w:r>
    </w:p>
  </w:footnote>
  <w:footnote w:id="2">
    <w:p w:rsidR="001A5714" w:rsidRPr="0099167D" w:rsidRDefault="001A5714" w:rsidP="001A5714">
      <w:pPr>
        <w:pStyle w:val="ae"/>
      </w:pPr>
      <w:r>
        <w:rPr>
          <w:rStyle w:val="af0"/>
        </w:rPr>
        <w:footnoteRef/>
      </w:r>
      <w:r>
        <w:t xml:space="preserve"> </w:t>
      </w:r>
      <w:r w:rsidRPr="0099167D">
        <w:rPr>
          <w:shd w:val="clear" w:color="auto" w:fill="FFFFFF"/>
        </w:rPr>
        <w:t>Термин «</w:t>
      </w:r>
      <w:proofErr w:type="spellStart"/>
      <w:r w:rsidRPr="0099167D">
        <w:rPr>
          <w:shd w:val="clear" w:color="auto" w:fill="FFFFFF"/>
        </w:rPr>
        <w:t>фрод</w:t>
      </w:r>
      <w:proofErr w:type="spellEnd"/>
      <w:r w:rsidRPr="0099167D">
        <w:rPr>
          <w:shd w:val="clear" w:color="auto" w:fill="FFFFFF"/>
        </w:rPr>
        <w:t>» произошел от английского слова «</w:t>
      </w:r>
      <w:proofErr w:type="spellStart"/>
      <w:r w:rsidRPr="0099167D">
        <w:rPr>
          <w:shd w:val="clear" w:color="auto" w:fill="FFFFFF"/>
        </w:rPr>
        <w:t>fraud</w:t>
      </w:r>
      <w:proofErr w:type="spellEnd"/>
      <w:r w:rsidRPr="0099167D">
        <w:rPr>
          <w:shd w:val="clear" w:color="auto" w:fill="FFFFFF"/>
        </w:rPr>
        <w:t>», что переводится как «мошенничество»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A5892"/>
    <w:multiLevelType w:val="hybridMultilevel"/>
    <w:tmpl w:val="30189850"/>
    <w:lvl w:ilvl="0" w:tplc="3E1C3A00">
      <w:start w:val="1"/>
      <w:numFmt w:val="bullet"/>
      <w:lvlText w:val="–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C3964B1"/>
    <w:multiLevelType w:val="hybridMultilevel"/>
    <w:tmpl w:val="9E70D032"/>
    <w:lvl w:ilvl="0" w:tplc="4154C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CA"/>
    <w:rsid w:val="0000093A"/>
    <w:rsid w:val="00020BF4"/>
    <w:rsid w:val="00034F69"/>
    <w:rsid w:val="0003661E"/>
    <w:rsid w:val="00036C22"/>
    <w:rsid w:val="00074517"/>
    <w:rsid w:val="00074942"/>
    <w:rsid w:val="0008702D"/>
    <w:rsid w:val="000A3F61"/>
    <w:rsid w:val="000B1CC4"/>
    <w:rsid w:val="000B319A"/>
    <w:rsid w:val="000D4B87"/>
    <w:rsid w:val="001417CC"/>
    <w:rsid w:val="00162D00"/>
    <w:rsid w:val="001745C2"/>
    <w:rsid w:val="00186039"/>
    <w:rsid w:val="001A4BE0"/>
    <w:rsid w:val="001A5714"/>
    <w:rsid w:val="001B061F"/>
    <w:rsid w:val="001C6CA1"/>
    <w:rsid w:val="001D523B"/>
    <w:rsid w:val="002043E7"/>
    <w:rsid w:val="00220141"/>
    <w:rsid w:val="002306CD"/>
    <w:rsid w:val="00230F85"/>
    <w:rsid w:val="0023306A"/>
    <w:rsid w:val="00234BFD"/>
    <w:rsid w:val="0023764A"/>
    <w:rsid w:val="00253B0D"/>
    <w:rsid w:val="002764B2"/>
    <w:rsid w:val="002843F5"/>
    <w:rsid w:val="00293DA9"/>
    <w:rsid w:val="002E0DC9"/>
    <w:rsid w:val="0030652F"/>
    <w:rsid w:val="00310168"/>
    <w:rsid w:val="00323D7A"/>
    <w:rsid w:val="0033099C"/>
    <w:rsid w:val="00333E99"/>
    <w:rsid w:val="00376047"/>
    <w:rsid w:val="00385A39"/>
    <w:rsid w:val="00386C69"/>
    <w:rsid w:val="003B0359"/>
    <w:rsid w:val="003C7A52"/>
    <w:rsid w:val="003D6AD2"/>
    <w:rsid w:val="003E3B5B"/>
    <w:rsid w:val="003E4D02"/>
    <w:rsid w:val="00412884"/>
    <w:rsid w:val="004262C8"/>
    <w:rsid w:val="0043526F"/>
    <w:rsid w:val="0046110B"/>
    <w:rsid w:val="00472BE5"/>
    <w:rsid w:val="0048730E"/>
    <w:rsid w:val="0049715F"/>
    <w:rsid w:val="004A076E"/>
    <w:rsid w:val="004B0B5D"/>
    <w:rsid w:val="004E2556"/>
    <w:rsid w:val="004F1B32"/>
    <w:rsid w:val="00501607"/>
    <w:rsid w:val="005348A9"/>
    <w:rsid w:val="005362CF"/>
    <w:rsid w:val="00540F47"/>
    <w:rsid w:val="00541BC7"/>
    <w:rsid w:val="0056419A"/>
    <w:rsid w:val="0057042F"/>
    <w:rsid w:val="00592E80"/>
    <w:rsid w:val="005C7E97"/>
    <w:rsid w:val="005D7BB5"/>
    <w:rsid w:val="005F191B"/>
    <w:rsid w:val="005F382D"/>
    <w:rsid w:val="00602F00"/>
    <w:rsid w:val="00623A89"/>
    <w:rsid w:val="00633CF8"/>
    <w:rsid w:val="0067219F"/>
    <w:rsid w:val="00675C79"/>
    <w:rsid w:val="00681951"/>
    <w:rsid w:val="006834D4"/>
    <w:rsid w:val="006A3C0B"/>
    <w:rsid w:val="006D13C6"/>
    <w:rsid w:val="006D764B"/>
    <w:rsid w:val="006F64FE"/>
    <w:rsid w:val="00707018"/>
    <w:rsid w:val="007257DD"/>
    <w:rsid w:val="00740AC4"/>
    <w:rsid w:val="0074414B"/>
    <w:rsid w:val="007716B4"/>
    <w:rsid w:val="00776E92"/>
    <w:rsid w:val="00793235"/>
    <w:rsid w:val="00797AB8"/>
    <w:rsid w:val="007A18E1"/>
    <w:rsid w:val="007A33A3"/>
    <w:rsid w:val="007A4B5D"/>
    <w:rsid w:val="007D36AC"/>
    <w:rsid w:val="007E32D2"/>
    <w:rsid w:val="008169F4"/>
    <w:rsid w:val="00830B60"/>
    <w:rsid w:val="008369F2"/>
    <w:rsid w:val="00837659"/>
    <w:rsid w:val="008620CA"/>
    <w:rsid w:val="008876A9"/>
    <w:rsid w:val="008A5699"/>
    <w:rsid w:val="008B76D4"/>
    <w:rsid w:val="008E2CAF"/>
    <w:rsid w:val="009026FE"/>
    <w:rsid w:val="00925011"/>
    <w:rsid w:val="009252BC"/>
    <w:rsid w:val="00934D78"/>
    <w:rsid w:val="00934EEE"/>
    <w:rsid w:val="00936EEA"/>
    <w:rsid w:val="00955575"/>
    <w:rsid w:val="009735DA"/>
    <w:rsid w:val="0099167D"/>
    <w:rsid w:val="009C1A2A"/>
    <w:rsid w:val="009C5584"/>
    <w:rsid w:val="009D4FF7"/>
    <w:rsid w:val="009D6A5F"/>
    <w:rsid w:val="009F4D77"/>
    <w:rsid w:val="00A05E05"/>
    <w:rsid w:val="00A1744A"/>
    <w:rsid w:val="00A54FEA"/>
    <w:rsid w:val="00A64F8A"/>
    <w:rsid w:val="00A66B6A"/>
    <w:rsid w:val="00A74A3F"/>
    <w:rsid w:val="00AB247E"/>
    <w:rsid w:val="00AC658A"/>
    <w:rsid w:val="00AD0A0E"/>
    <w:rsid w:val="00AE2832"/>
    <w:rsid w:val="00B340D4"/>
    <w:rsid w:val="00B43CFA"/>
    <w:rsid w:val="00B61F45"/>
    <w:rsid w:val="00B66334"/>
    <w:rsid w:val="00B77F56"/>
    <w:rsid w:val="00B917CC"/>
    <w:rsid w:val="00BB1697"/>
    <w:rsid w:val="00BB3EB1"/>
    <w:rsid w:val="00BD261E"/>
    <w:rsid w:val="00C227F5"/>
    <w:rsid w:val="00C23C1F"/>
    <w:rsid w:val="00C269DD"/>
    <w:rsid w:val="00C44151"/>
    <w:rsid w:val="00C55A04"/>
    <w:rsid w:val="00C64D7D"/>
    <w:rsid w:val="00CB3A16"/>
    <w:rsid w:val="00CB6E1E"/>
    <w:rsid w:val="00CC4BE2"/>
    <w:rsid w:val="00CE4BE5"/>
    <w:rsid w:val="00D136FF"/>
    <w:rsid w:val="00D3524F"/>
    <w:rsid w:val="00D42B2F"/>
    <w:rsid w:val="00D65A8B"/>
    <w:rsid w:val="00D65C9F"/>
    <w:rsid w:val="00D67FF2"/>
    <w:rsid w:val="00D745B6"/>
    <w:rsid w:val="00D8485C"/>
    <w:rsid w:val="00D91967"/>
    <w:rsid w:val="00DA5583"/>
    <w:rsid w:val="00DB6654"/>
    <w:rsid w:val="00DC6FDA"/>
    <w:rsid w:val="00DE143A"/>
    <w:rsid w:val="00E0240D"/>
    <w:rsid w:val="00E02442"/>
    <w:rsid w:val="00E0315D"/>
    <w:rsid w:val="00E076EA"/>
    <w:rsid w:val="00E33124"/>
    <w:rsid w:val="00E74741"/>
    <w:rsid w:val="00E836A6"/>
    <w:rsid w:val="00EB2D08"/>
    <w:rsid w:val="00EB7B78"/>
    <w:rsid w:val="00EC24B8"/>
    <w:rsid w:val="00ED0319"/>
    <w:rsid w:val="00ED3E35"/>
    <w:rsid w:val="00EE1653"/>
    <w:rsid w:val="00EE63B8"/>
    <w:rsid w:val="00F026D7"/>
    <w:rsid w:val="00F368D3"/>
    <w:rsid w:val="00F50E55"/>
    <w:rsid w:val="00F51420"/>
    <w:rsid w:val="00F555D1"/>
    <w:rsid w:val="00F56266"/>
    <w:rsid w:val="00F57DFD"/>
    <w:rsid w:val="00F8218B"/>
    <w:rsid w:val="00F833D5"/>
    <w:rsid w:val="00F96B96"/>
    <w:rsid w:val="00FA535A"/>
    <w:rsid w:val="00FB0E7C"/>
    <w:rsid w:val="00FB3666"/>
    <w:rsid w:val="00FE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3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91967"/>
    <w:rPr>
      <w:i/>
      <w:iCs/>
    </w:rPr>
  </w:style>
  <w:style w:type="paragraph" w:customStyle="1" w:styleId="zdv">
    <w:name w:val="zdv"/>
    <w:basedOn w:val="a"/>
    <w:link w:val="zdv0"/>
    <w:qFormat/>
    <w:rsid w:val="001745C2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4">
    <w:name w:val="Normal (Web)"/>
    <w:basedOn w:val="a"/>
    <w:uiPriority w:val="99"/>
    <w:semiHidden/>
    <w:unhideWhenUsed/>
    <w:rsid w:val="00000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dv0">
    <w:name w:val="zdv Знак"/>
    <w:basedOn w:val="a0"/>
    <w:link w:val="zdv"/>
    <w:rsid w:val="001745C2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0093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93A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412884"/>
    <w:rPr>
      <w:color w:val="800080" w:themeColor="followedHyperlink"/>
      <w:u w:val="single"/>
    </w:rPr>
  </w:style>
  <w:style w:type="character" w:customStyle="1" w:styleId="mw-headline">
    <w:name w:val="mw-headline"/>
    <w:basedOn w:val="a0"/>
    <w:rsid w:val="004A076E"/>
  </w:style>
  <w:style w:type="paragraph" w:styleId="a9">
    <w:name w:val="List Paragraph"/>
    <w:basedOn w:val="a"/>
    <w:uiPriority w:val="34"/>
    <w:qFormat/>
    <w:rsid w:val="00AC658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9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3DA9"/>
  </w:style>
  <w:style w:type="paragraph" w:styleId="ac">
    <w:name w:val="footer"/>
    <w:basedOn w:val="a"/>
    <w:link w:val="ad"/>
    <w:uiPriority w:val="99"/>
    <w:unhideWhenUsed/>
    <w:rsid w:val="0029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3DA9"/>
  </w:style>
  <w:style w:type="paragraph" w:styleId="ae">
    <w:name w:val="footnote text"/>
    <w:basedOn w:val="a"/>
    <w:link w:val="af"/>
    <w:uiPriority w:val="99"/>
    <w:semiHidden/>
    <w:unhideWhenUsed/>
    <w:rsid w:val="00293DA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93DA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93DA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13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99167D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9167D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99167D"/>
    <w:rPr>
      <w:vertAlign w:val="superscript"/>
    </w:rPr>
  </w:style>
  <w:style w:type="table" w:styleId="af4">
    <w:name w:val="Table Grid"/>
    <w:basedOn w:val="a1"/>
    <w:rsid w:val="00F57DFD"/>
    <w:pPr>
      <w:spacing w:after="160" w:line="259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"/>
    <w:uiPriority w:val="39"/>
    <w:unhideWhenUsed/>
    <w:qFormat/>
    <w:rsid w:val="00DA558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DA5583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9C5584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9C5584"/>
    <w:pPr>
      <w:spacing w:after="100"/>
      <w:ind w:left="44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3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91967"/>
    <w:rPr>
      <w:i/>
      <w:iCs/>
    </w:rPr>
  </w:style>
  <w:style w:type="paragraph" w:customStyle="1" w:styleId="zdv">
    <w:name w:val="zdv"/>
    <w:basedOn w:val="a"/>
    <w:link w:val="zdv0"/>
    <w:qFormat/>
    <w:rsid w:val="001745C2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4">
    <w:name w:val="Normal (Web)"/>
    <w:basedOn w:val="a"/>
    <w:uiPriority w:val="99"/>
    <w:semiHidden/>
    <w:unhideWhenUsed/>
    <w:rsid w:val="00000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dv0">
    <w:name w:val="zdv Знак"/>
    <w:basedOn w:val="a0"/>
    <w:link w:val="zdv"/>
    <w:rsid w:val="001745C2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0093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93A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412884"/>
    <w:rPr>
      <w:color w:val="800080" w:themeColor="followedHyperlink"/>
      <w:u w:val="single"/>
    </w:rPr>
  </w:style>
  <w:style w:type="character" w:customStyle="1" w:styleId="mw-headline">
    <w:name w:val="mw-headline"/>
    <w:basedOn w:val="a0"/>
    <w:rsid w:val="004A076E"/>
  </w:style>
  <w:style w:type="paragraph" w:styleId="a9">
    <w:name w:val="List Paragraph"/>
    <w:basedOn w:val="a"/>
    <w:uiPriority w:val="34"/>
    <w:qFormat/>
    <w:rsid w:val="00AC658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9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3DA9"/>
  </w:style>
  <w:style w:type="paragraph" w:styleId="ac">
    <w:name w:val="footer"/>
    <w:basedOn w:val="a"/>
    <w:link w:val="ad"/>
    <w:uiPriority w:val="99"/>
    <w:unhideWhenUsed/>
    <w:rsid w:val="0029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3DA9"/>
  </w:style>
  <w:style w:type="paragraph" w:styleId="ae">
    <w:name w:val="footnote text"/>
    <w:basedOn w:val="a"/>
    <w:link w:val="af"/>
    <w:uiPriority w:val="99"/>
    <w:semiHidden/>
    <w:unhideWhenUsed/>
    <w:rsid w:val="00293DA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93DA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93DA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13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99167D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9167D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99167D"/>
    <w:rPr>
      <w:vertAlign w:val="superscript"/>
    </w:rPr>
  </w:style>
  <w:style w:type="table" w:styleId="af4">
    <w:name w:val="Table Grid"/>
    <w:basedOn w:val="a1"/>
    <w:rsid w:val="00F57DFD"/>
    <w:pPr>
      <w:spacing w:after="160" w:line="259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"/>
    <w:uiPriority w:val="39"/>
    <w:unhideWhenUsed/>
    <w:qFormat/>
    <w:rsid w:val="00DA558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DA5583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9C5584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9C5584"/>
    <w:pPr>
      <w:spacing w:after="100"/>
      <w:ind w:left="44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700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2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dviser.ru/index.php/%D0%90%D0%91%D0%A1" TargetMode="External"/><Relationship Id="rId18" Type="http://schemas.openxmlformats.org/officeDocument/2006/relationships/hyperlink" Target="http://bankir.ru/publikacii/20120305/bezopasnost-sistem-distantsionnogo-bankovskogo-obsluzhivaniya-10001328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ssys.com/solutions/financial-institutions/fraud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tadviser.ru/index.php/%D0%94%D0%91%D0%9E" TargetMode="External"/><Relationship Id="rId17" Type="http://schemas.openxmlformats.org/officeDocument/2006/relationships/hyperlink" Target="http://bankir.ru/publikacii/20120604/bezopasnost-dbo-zavisit-i-ot-banka-i-ot-klienta-1000175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ecuritylab.ru/blog/personal/Informacionnaya_bezopasnost_v_detalyah/339929.php" TargetMode="External"/><Relationship Id="rId20" Type="http://schemas.openxmlformats.org/officeDocument/2006/relationships/hyperlink" Target="http://www.bssys.com/about/press-center/articles/chto-umeet-anti-fraud-v-db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adviser.ru/index.php/%D0%94%D0%91%D0%9E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securitylab.ru/analytics/485467.php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bankdbo.ru/bezopasnos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tadviser.ru/index.php/%D0%A6%D0%91_%D0%A0%D0%A4" TargetMode="External"/><Relationship Id="rId22" Type="http://schemas.openxmlformats.org/officeDocument/2006/relationships/hyperlink" Target="http://www.tadviser.ru/index.php/&#1057;&#1090;&#1072;&#1090;&#1100;&#1103;:&#1050;&#1072;&#1082;_&#1074;&#1099;&#1073;&#1088;&#1072;&#1090;&#1100;_&#1072;&#1085;&#1090;&#1080;&#1092;&#1088;&#1086;&#1076;-&#1089;&#1080;&#1089;&#1090;&#1077;&#1084;&#1091;_&#1076;&#1083;&#1103;_&#1073;&#1072;&#1085;&#1082;&#1072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g.ru/gazeta/rg/2016/11/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CFB77-BF5F-4FE8-995D-B4BB1354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2629</Words>
  <Characters>14990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17584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Загута</dc:creator>
  <cp:lastModifiedBy>Загута</cp:lastModifiedBy>
  <cp:revision>172</cp:revision>
  <dcterms:created xsi:type="dcterms:W3CDTF">2017-10-31T06:58:00Z</dcterms:created>
  <dcterms:modified xsi:type="dcterms:W3CDTF">2019-02-28T10:03:00Z</dcterms:modified>
</cp:coreProperties>
</file>