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119" w:rsidRPr="009E051E" w:rsidRDefault="00AA0119" w:rsidP="009E051E">
      <w:pPr>
        <w:spacing w:after="0" w:line="20" w:lineRule="atLeast"/>
        <w:ind w:right="-2"/>
        <w:rPr>
          <w:rFonts w:ascii="Times New Roman" w:hAnsi="Times New Roman" w:cs="Times New Roman"/>
          <w:b/>
          <w:bCs/>
          <w:sz w:val="18"/>
          <w:szCs w:val="18"/>
        </w:rPr>
      </w:pPr>
      <w:bookmarkStart w:id="0" w:name="_GoBack"/>
      <w:bookmarkEnd w:id="0"/>
      <w:r w:rsidRPr="009E051E">
        <w:rPr>
          <w:rFonts w:ascii="Times New Roman" w:hAnsi="Times New Roman" w:cs="Times New Roman"/>
          <w:b/>
          <w:bCs/>
          <w:sz w:val="18"/>
          <w:szCs w:val="18"/>
        </w:rPr>
        <w:t>УДК 629.7.036.2</w:t>
      </w:r>
    </w:p>
    <w:p w:rsidR="00AA0119" w:rsidRPr="009E051E" w:rsidRDefault="00AA0119" w:rsidP="009E051E">
      <w:pPr>
        <w:spacing w:after="0" w:line="20" w:lineRule="atLeast"/>
        <w:ind w:right="-2" w:firstLine="709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9E051E">
        <w:rPr>
          <w:rFonts w:ascii="Times New Roman" w:hAnsi="Times New Roman" w:cs="Times New Roman"/>
          <w:b/>
          <w:bCs/>
          <w:color w:val="000000"/>
          <w:sz w:val="18"/>
          <w:szCs w:val="18"/>
        </w:rPr>
        <w:t>Подходы численного моделирования процессов в камере сгорания</w:t>
      </w:r>
    </w:p>
    <w:p w:rsidR="00AA0119" w:rsidRPr="009E051E" w:rsidRDefault="00AA0119" w:rsidP="009E051E">
      <w:pPr>
        <w:spacing w:after="0" w:line="20" w:lineRule="atLeast"/>
        <w:ind w:right="-2" w:firstLine="709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9E051E">
        <w:rPr>
          <w:rFonts w:ascii="Times New Roman" w:hAnsi="Times New Roman" w:cs="Times New Roman"/>
          <w:b/>
          <w:bCs/>
          <w:sz w:val="18"/>
          <w:szCs w:val="18"/>
        </w:rPr>
        <w:t xml:space="preserve"> П. В. Сизов </w:t>
      </w:r>
    </w:p>
    <w:p w:rsidR="00AA0119" w:rsidRPr="009E051E" w:rsidRDefault="00AA0119" w:rsidP="009E051E">
      <w:pPr>
        <w:spacing w:after="0" w:line="20" w:lineRule="atLeast"/>
        <w:ind w:firstLine="709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9E051E">
        <w:rPr>
          <w:rFonts w:ascii="Times New Roman" w:hAnsi="Times New Roman" w:cs="Times New Roman"/>
          <w:i/>
          <w:iCs/>
          <w:sz w:val="18"/>
          <w:szCs w:val="18"/>
        </w:rPr>
        <w:t>Балтийский государственный технический университет «ВОЕНМЕХ» имени Д.Ф. Устинова</w:t>
      </w:r>
    </w:p>
    <w:p w:rsidR="00AA0119" w:rsidRPr="009E051E" w:rsidRDefault="00AA0119" w:rsidP="009E051E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9E051E">
        <w:rPr>
          <w:rFonts w:ascii="Times New Roman" w:hAnsi="Times New Roman" w:cs="Times New Roman"/>
          <w:sz w:val="18"/>
          <w:szCs w:val="18"/>
        </w:rPr>
        <w:t>Целью работы является численное моделирование, в камере сгорания модельной установки ПВРД(ГПВРД), в проточной части которого расположена система форсунок подачи топлива, процессов</w:t>
      </w:r>
      <w:bookmarkStart w:id="1" w:name="OLE_LINK36"/>
      <w:bookmarkStart w:id="2" w:name="OLE_LINK37"/>
      <w:r w:rsidRPr="009E051E">
        <w:rPr>
          <w:rFonts w:ascii="Times New Roman" w:hAnsi="Times New Roman" w:cs="Times New Roman"/>
          <w:sz w:val="18"/>
          <w:szCs w:val="18"/>
        </w:rPr>
        <w:t xml:space="preserve"> течения и горения</w:t>
      </w:r>
      <w:bookmarkEnd w:id="1"/>
      <w:bookmarkEnd w:id="2"/>
      <w:r w:rsidRPr="009E051E">
        <w:rPr>
          <w:rFonts w:ascii="Times New Roman" w:hAnsi="Times New Roman" w:cs="Times New Roman"/>
          <w:sz w:val="18"/>
          <w:szCs w:val="18"/>
        </w:rPr>
        <w:t xml:space="preserve"> для нескольких режимов работы (в зону реакции поступает воздух в разным массовым содержание кислорода). Моделирование выполняется средствами пакета программ ANSYS </w:t>
      </w:r>
      <w:r w:rsidRPr="009E051E">
        <w:rPr>
          <w:rFonts w:ascii="Times New Roman" w:hAnsi="Times New Roman" w:cs="Times New Roman"/>
          <w:sz w:val="18"/>
          <w:szCs w:val="18"/>
          <w:lang w:val="en-US"/>
        </w:rPr>
        <w:t>Fluent</w:t>
      </w:r>
      <w:r w:rsidRPr="009E051E">
        <w:rPr>
          <w:rFonts w:ascii="Times New Roman" w:hAnsi="Times New Roman" w:cs="Times New Roman"/>
          <w:sz w:val="18"/>
          <w:szCs w:val="18"/>
        </w:rPr>
        <w:t xml:space="preserve"> и </w:t>
      </w:r>
      <w:r w:rsidRPr="009E051E">
        <w:rPr>
          <w:rFonts w:ascii="Times New Roman" w:hAnsi="Times New Roman" w:cs="Times New Roman"/>
          <w:sz w:val="18"/>
          <w:szCs w:val="18"/>
          <w:lang w:val="en-US"/>
        </w:rPr>
        <w:t>Solidworks</w:t>
      </w:r>
      <w:r w:rsidRPr="009E051E">
        <w:rPr>
          <w:rFonts w:ascii="Times New Roman" w:hAnsi="Times New Roman" w:cs="Times New Roman"/>
          <w:sz w:val="18"/>
          <w:szCs w:val="18"/>
        </w:rPr>
        <w:t xml:space="preserve">. </w:t>
      </w:r>
    </w:p>
    <w:p w:rsidR="00AA0119" w:rsidRPr="009E051E" w:rsidRDefault="00AA0119" w:rsidP="009E051E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9E051E">
        <w:rPr>
          <w:rFonts w:ascii="Times New Roman" w:hAnsi="Times New Roman" w:cs="Times New Roman"/>
          <w:sz w:val="18"/>
          <w:szCs w:val="18"/>
        </w:rPr>
        <w:t>В работе исследуется влияние массового содержание кислорода в воздухе(окислитель) на полноту сгорания топлива(керосин) и энерговыделение в модельном тракте камеры сгорания ПВРД.</w:t>
      </w:r>
    </w:p>
    <w:p w:rsidR="00AA0119" w:rsidRPr="009E051E" w:rsidRDefault="00AA0119" w:rsidP="009E051E">
      <w:pPr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9E051E">
        <w:rPr>
          <w:rFonts w:ascii="Times New Roman" w:hAnsi="Times New Roman" w:cs="Times New Roman"/>
          <w:color w:val="000000"/>
          <w:sz w:val="18"/>
          <w:szCs w:val="18"/>
        </w:rPr>
        <w:t>Вычислительное моделирование процесса горения топливно-воздушной смеси в камере сгорания проточного тракта энергоустановки проводилось для двух режимов:</w:t>
      </w:r>
    </w:p>
    <w:p w:rsidR="00AA0119" w:rsidRPr="009E051E" w:rsidRDefault="00AA0119" w:rsidP="009E051E">
      <w:pPr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9E051E">
        <w:rPr>
          <w:rFonts w:ascii="Times New Roman" w:hAnsi="Times New Roman" w:cs="Times New Roman"/>
          <w:color w:val="000000"/>
          <w:sz w:val="18"/>
          <w:szCs w:val="18"/>
        </w:rPr>
        <w:t>1) режим горения смеси керосин + воздух (</w:t>
      </w:r>
      <w:bookmarkStart w:id="3" w:name="OLE_LINK42"/>
      <w:bookmarkStart w:id="4" w:name="OLE_LINK43"/>
      <w:bookmarkStart w:id="5" w:name="OLE_LINK44"/>
      <w:bookmarkStart w:id="6" w:name="OLE_LINK30"/>
      <w:bookmarkStart w:id="7" w:name="OLE_LINK31"/>
      <w:r w:rsidRPr="009E051E">
        <w:rPr>
          <w:rFonts w:ascii="Times New Roman" w:hAnsi="Times New Roman" w:cs="Times New Roman"/>
          <w:color w:val="000000"/>
          <w:sz w:val="18"/>
          <w:szCs w:val="18"/>
        </w:rPr>
        <w:t>мольная</w:t>
      </w:r>
      <w:bookmarkEnd w:id="3"/>
      <w:bookmarkEnd w:id="4"/>
      <w:bookmarkEnd w:id="5"/>
      <w:r w:rsidRPr="009E051E">
        <w:rPr>
          <w:rFonts w:ascii="Times New Roman" w:hAnsi="Times New Roman" w:cs="Times New Roman"/>
          <w:color w:val="000000"/>
          <w:sz w:val="18"/>
          <w:szCs w:val="18"/>
        </w:rPr>
        <w:t xml:space="preserve"> доля кислорода 21%</w:t>
      </w:r>
      <w:bookmarkEnd w:id="6"/>
      <w:bookmarkEnd w:id="7"/>
      <w:r w:rsidRPr="009E051E">
        <w:rPr>
          <w:rFonts w:ascii="Times New Roman" w:hAnsi="Times New Roman" w:cs="Times New Roman"/>
          <w:color w:val="000000"/>
          <w:sz w:val="18"/>
          <w:szCs w:val="18"/>
        </w:rPr>
        <w:t>);</w:t>
      </w:r>
    </w:p>
    <w:p w:rsidR="00AA0119" w:rsidRPr="009E051E" w:rsidRDefault="00AA0119" w:rsidP="009E051E">
      <w:pPr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9E051E">
        <w:rPr>
          <w:rFonts w:ascii="Times New Roman" w:hAnsi="Times New Roman" w:cs="Times New Roman"/>
          <w:color w:val="000000"/>
          <w:sz w:val="18"/>
          <w:szCs w:val="18"/>
        </w:rPr>
        <w:t>2) режим горения смеси керосин + обогащенный кислородом воздух (мольная доля кислорода 25%)</w:t>
      </w:r>
    </w:p>
    <w:p w:rsidR="00AA0119" w:rsidRPr="009E051E" w:rsidRDefault="00AA0119" w:rsidP="009E051E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9E051E">
        <w:rPr>
          <w:rFonts w:ascii="Times New Roman" w:hAnsi="Times New Roman" w:cs="Times New Roman"/>
          <w:sz w:val="18"/>
          <w:szCs w:val="18"/>
        </w:rPr>
        <w:t xml:space="preserve">Для моделирования процессов в камере сгорания модельной установки, имитирующей проточный тракт ГПВРД, используется модель турбулентного течения химически реагирующей многокомпонентной смеси. Задача решается в стационарной постановке. </w:t>
      </w:r>
    </w:p>
    <w:p w:rsidR="00AA0119" w:rsidRPr="009E051E" w:rsidRDefault="00AA0119" w:rsidP="009E051E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9E051E">
        <w:rPr>
          <w:rFonts w:ascii="Times New Roman" w:hAnsi="Times New Roman" w:cs="Times New Roman"/>
          <w:sz w:val="18"/>
          <w:szCs w:val="18"/>
        </w:rPr>
        <w:t>Уравнения модели включают в себя уравнения газовой динамики и теплообмена, уравнения модели турбулентности и уравнения, описывающие модель горения многокомпонентной смеси.</w:t>
      </w:r>
    </w:p>
    <w:p w:rsidR="00AA0119" w:rsidRPr="009E051E" w:rsidRDefault="00AA0119" w:rsidP="009E051E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9E051E">
        <w:rPr>
          <w:rFonts w:ascii="Times New Roman" w:hAnsi="Times New Roman" w:cs="Times New Roman"/>
          <w:sz w:val="18"/>
          <w:szCs w:val="18"/>
        </w:rPr>
        <w:t>Система уравнений газовой динамики представляет собой уравнения Навье-Стокса (</w:t>
      </w:r>
      <w:r w:rsidRPr="009E051E">
        <w:rPr>
          <w:rFonts w:ascii="Times New Roman" w:hAnsi="Times New Roman" w:cs="Times New Roman"/>
          <w:sz w:val="18"/>
          <w:szCs w:val="18"/>
          <w:lang w:val="en-US"/>
        </w:rPr>
        <w:t>RANS</w:t>
      </w:r>
      <w:r w:rsidRPr="009E051E">
        <w:rPr>
          <w:rFonts w:ascii="Times New Roman" w:hAnsi="Times New Roman" w:cs="Times New Roman"/>
          <w:sz w:val="18"/>
          <w:szCs w:val="18"/>
        </w:rPr>
        <w:t>) в консервативной форме:</w:t>
      </w:r>
    </w:p>
    <w:p w:rsidR="00AA0119" w:rsidRPr="009E051E" w:rsidRDefault="00A20E44" w:rsidP="009E051E">
      <w:pPr>
        <w:spacing w:after="0" w:line="20" w:lineRule="atLeast"/>
        <w:ind w:firstLine="709"/>
        <w:jc w:val="center"/>
        <w:rPr>
          <w:rFonts w:ascii="Times New Roman" w:hAnsi="Times New Roman" w:cs="Times New Roman"/>
          <w:sz w:val="18"/>
          <w:szCs w:val="18"/>
        </w:rPr>
      </w:pPr>
      <w:r w:rsidRPr="009E051E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352550" cy="276225"/>
            <wp:effectExtent l="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119" w:rsidRPr="009E051E" w:rsidRDefault="00A20E44" w:rsidP="009E051E">
      <w:pPr>
        <w:spacing w:after="0" w:line="20" w:lineRule="atLeast"/>
        <w:ind w:firstLine="709"/>
        <w:jc w:val="center"/>
        <w:rPr>
          <w:rFonts w:ascii="Times New Roman" w:hAnsi="Times New Roman" w:cs="Times New Roman"/>
          <w:i/>
          <w:iCs/>
          <w:sz w:val="18"/>
          <w:szCs w:val="18"/>
          <w:lang w:val="en-US"/>
        </w:rPr>
      </w:pPr>
      <w:r w:rsidRPr="009E051E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3028950" cy="276225"/>
            <wp:effectExtent l="0" t="0" r="0" b="0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119" w:rsidRPr="009E051E" w:rsidRDefault="00A20E44" w:rsidP="009E051E">
      <w:pPr>
        <w:spacing w:after="0" w:line="20" w:lineRule="atLeast"/>
        <w:ind w:firstLine="709"/>
        <w:jc w:val="center"/>
        <w:rPr>
          <w:rFonts w:ascii="Times New Roman" w:hAnsi="Times New Roman" w:cs="Times New Roman"/>
          <w:i/>
          <w:iCs/>
          <w:sz w:val="18"/>
          <w:szCs w:val="18"/>
          <w:lang w:val="en-US"/>
        </w:rPr>
      </w:pPr>
      <w:r w:rsidRPr="009E051E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3914775" cy="457200"/>
            <wp:effectExtent l="0" t="0" r="0" b="0"/>
            <wp:docPr id="3" name="Изображение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119" w:rsidRPr="009E051E" w:rsidRDefault="00AA0119" w:rsidP="009E051E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9E051E">
        <w:rPr>
          <w:rFonts w:ascii="Times New Roman" w:hAnsi="Times New Roman" w:cs="Times New Roman"/>
          <w:sz w:val="18"/>
          <w:szCs w:val="18"/>
        </w:rPr>
        <w:t xml:space="preserve">где </w:t>
      </w:r>
      <w:r w:rsidR="00A20E44" w:rsidRPr="009E051E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66675" cy="152400"/>
            <wp:effectExtent l="0" t="0" r="0" b="0"/>
            <wp:docPr id="4" name="Изображение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051E">
        <w:rPr>
          <w:rFonts w:ascii="Times New Roman" w:hAnsi="Times New Roman" w:cs="Times New Roman"/>
          <w:sz w:val="18"/>
          <w:szCs w:val="18"/>
        </w:rPr>
        <w:t xml:space="preserve">– статическое давление, </w:t>
      </w:r>
      <w:r w:rsidR="00A20E44" w:rsidRPr="009E051E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33350" cy="152400"/>
            <wp:effectExtent l="0" t="0" r="0" b="0"/>
            <wp:docPr id="5" name="Изображение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051E">
        <w:rPr>
          <w:rFonts w:ascii="Times New Roman" w:hAnsi="Times New Roman" w:cs="Times New Roman"/>
          <w:sz w:val="18"/>
          <w:szCs w:val="18"/>
        </w:rPr>
        <w:t xml:space="preserve"> и </w:t>
      </w:r>
      <w:r w:rsidR="00A20E44" w:rsidRPr="009E051E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95250" cy="152400"/>
            <wp:effectExtent l="0" t="0" r="0" b="0"/>
            <wp:docPr id="6" name="Изображение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051E">
        <w:rPr>
          <w:rFonts w:ascii="Times New Roman" w:hAnsi="Times New Roman" w:cs="Times New Roman"/>
          <w:sz w:val="18"/>
          <w:szCs w:val="18"/>
        </w:rPr>
        <w:t xml:space="preserve"> – молекулярная и турбулентная (полученная путем осреднения различных функционалов от мелкомасштабных пульсаций) компоненты тензора вязких напряжений, </w:t>
      </w:r>
      <w:r w:rsidR="00A20E44" w:rsidRPr="009E051E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33350" cy="152400"/>
            <wp:effectExtent l="0" t="0" r="0" b="0"/>
            <wp:docPr id="7" name="Изображение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051E">
        <w:rPr>
          <w:rFonts w:ascii="Times New Roman" w:hAnsi="Times New Roman" w:cs="Times New Roman"/>
          <w:sz w:val="18"/>
          <w:szCs w:val="18"/>
        </w:rPr>
        <w:t xml:space="preserve"> – гравитационная сила, </w:t>
      </w:r>
      <w:r w:rsidR="00A20E44" w:rsidRPr="009E051E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76200" cy="171450"/>
            <wp:effectExtent l="0" t="0" r="0" b="0"/>
            <wp:docPr id="8" name="Изображение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051E">
        <w:rPr>
          <w:rFonts w:ascii="Times New Roman" w:hAnsi="Times New Roman" w:cs="Times New Roman"/>
          <w:sz w:val="18"/>
          <w:szCs w:val="18"/>
        </w:rPr>
        <w:t xml:space="preserve"> – внешние силы, </w:t>
      </w:r>
      <w:r w:rsidR="00A20E44" w:rsidRPr="009E051E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676275" cy="171450"/>
            <wp:effectExtent l="0" t="0" r="0" b="0"/>
            <wp:docPr id="9" name="Изображение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051E">
        <w:rPr>
          <w:rFonts w:ascii="Times New Roman" w:hAnsi="Times New Roman" w:cs="Times New Roman"/>
          <w:sz w:val="18"/>
          <w:szCs w:val="18"/>
        </w:rPr>
        <w:t xml:space="preserve"> - эффективный коэффициент теплоотдачи, </w:t>
      </w:r>
      <w:r w:rsidR="00A20E44" w:rsidRPr="009E051E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80975" cy="171450"/>
            <wp:effectExtent l="0" t="0" r="0" b="0"/>
            <wp:docPr id="10" name="Изображение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051E">
        <w:rPr>
          <w:rFonts w:ascii="Times New Roman" w:hAnsi="Times New Roman" w:cs="Times New Roman"/>
          <w:sz w:val="18"/>
          <w:szCs w:val="18"/>
        </w:rPr>
        <w:t xml:space="preserve">энтальпия образования </w:t>
      </w:r>
      <w:r w:rsidR="00A20E44" w:rsidRPr="009E051E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47625" cy="152400"/>
            <wp:effectExtent l="0" t="0" r="0" b="0"/>
            <wp:docPr id="11" name="Изображение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051E">
        <w:rPr>
          <w:rFonts w:ascii="Times New Roman" w:hAnsi="Times New Roman" w:cs="Times New Roman"/>
          <w:sz w:val="18"/>
          <w:szCs w:val="18"/>
        </w:rPr>
        <w:t>-того элемента ,</w:t>
      </w:r>
      <w:r w:rsidR="00A20E44" w:rsidRPr="009E051E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33350" cy="190500"/>
            <wp:effectExtent l="0" t="0" r="0" b="0"/>
            <wp:docPr id="12" name="Изображение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051E">
        <w:rPr>
          <w:rFonts w:ascii="Times New Roman" w:hAnsi="Times New Roman" w:cs="Times New Roman"/>
          <w:sz w:val="18"/>
          <w:szCs w:val="18"/>
        </w:rPr>
        <w:t xml:space="preserve"> - диффузионный член, </w:t>
      </w:r>
      <w:r w:rsidR="00A20E44" w:rsidRPr="009E051E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14300" cy="152400"/>
            <wp:effectExtent l="0" t="0" r="0" b="0"/>
            <wp:docPr id="13" name="Изображение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051E">
        <w:rPr>
          <w:rFonts w:ascii="Times New Roman" w:hAnsi="Times New Roman" w:cs="Times New Roman"/>
          <w:sz w:val="18"/>
          <w:szCs w:val="18"/>
        </w:rPr>
        <w:t xml:space="preserve"> - источниковый член энергии.</w:t>
      </w:r>
    </w:p>
    <w:p w:rsidR="00AA0119" w:rsidRPr="009E051E" w:rsidRDefault="00AA0119" w:rsidP="009E051E">
      <w:pPr>
        <w:spacing w:after="0" w:line="20" w:lineRule="atLeast"/>
        <w:ind w:firstLine="709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E051E">
        <w:rPr>
          <w:rFonts w:ascii="Times New Roman" w:hAnsi="Times New Roman" w:cs="Times New Roman"/>
          <w:sz w:val="18"/>
          <w:szCs w:val="18"/>
        </w:rPr>
        <w:t xml:space="preserve">Уравнение энергии (1.3), решаемое при использовании модели горения с предварительно не перемешанными горючим и окислителем в условии неадиабатичности течения, заменяется уравнением относительно полной энтальпии </w:t>
      </w:r>
      <w:r w:rsidRPr="009E051E">
        <w:rPr>
          <w:rFonts w:ascii="Times New Roman" w:hAnsi="Times New Roman" w:cs="Times New Roman"/>
          <w:i/>
          <w:iCs/>
          <w:sz w:val="18"/>
          <w:szCs w:val="18"/>
          <w:lang w:val="en-US"/>
        </w:rPr>
        <w:t>H</w:t>
      </w:r>
      <w:r w:rsidRPr="009E051E">
        <w:rPr>
          <w:rFonts w:ascii="Times New Roman" w:hAnsi="Times New Roman" w:cs="Times New Roman"/>
          <w:i/>
          <w:iCs/>
          <w:sz w:val="18"/>
          <w:szCs w:val="18"/>
        </w:rPr>
        <w:t>:</w:t>
      </w:r>
    </w:p>
    <w:p w:rsidR="00AA0119" w:rsidRPr="009E051E" w:rsidRDefault="00AA0119" w:rsidP="009E051E">
      <w:pPr>
        <w:spacing w:after="0" w:line="20" w:lineRule="atLeast"/>
        <w:ind w:firstLine="709"/>
        <w:jc w:val="right"/>
        <w:rPr>
          <w:rFonts w:ascii="Times New Roman" w:hAnsi="Times New Roman" w:cs="Times New Roman"/>
          <w:sz w:val="18"/>
          <w:szCs w:val="18"/>
        </w:rPr>
      </w:pPr>
      <w:r w:rsidRPr="009E051E">
        <w:rPr>
          <w:rFonts w:ascii="Times New Roman" w:hAnsi="Times New Roman" w:cs="Times New Roman"/>
          <w:sz w:val="18"/>
          <w:szCs w:val="18"/>
        </w:rPr>
        <w:t>   </w:t>
      </w:r>
      <w:r w:rsidR="00A20E44" w:rsidRPr="009E051E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3067050" cy="304800"/>
            <wp:effectExtent l="0" t="0" r="0" b="0"/>
            <wp:docPr id="14" name="Изображение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119" w:rsidRPr="009E051E" w:rsidRDefault="00AA0119" w:rsidP="009E051E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9E051E">
        <w:rPr>
          <w:rFonts w:ascii="Times New Roman" w:hAnsi="Times New Roman" w:cs="Times New Roman"/>
          <w:sz w:val="18"/>
          <w:szCs w:val="18"/>
        </w:rPr>
        <w:t xml:space="preserve">где </w:t>
      </w:r>
      <w:r w:rsidR="00A20E44" w:rsidRPr="009E051E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638175" cy="152400"/>
            <wp:effectExtent l="0" t="0" r="0" b="0"/>
            <wp:docPr id="15" name="Изображение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051E">
        <w:rPr>
          <w:rFonts w:ascii="Times New Roman" w:hAnsi="Times New Roman" w:cs="Times New Roman"/>
          <w:sz w:val="18"/>
          <w:szCs w:val="18"/>
        </w:rPr>
        <w:t xml:space="preserve"> – удельная полная энтальпия,</w:t>
      </w:r>
      <w:r w:rsidR="00A20E44" w:rsidRPr="009E051E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590550" cy="228600"/>
            <wp:effectExtent l="0" t="0" r="0" b="0"/>
            <wp:docPr id="16" name="Изображение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051E">
        <w:rPr>
          <w:rFonts w:ascii="Times New Roman" w:hAnsi="Times New Roman" w:cs="Times New Roman"/>
          <w:sz w:val="18"/>
          <w:szCs w:val="18"/>
        </w:rPr>
        <w:t xml:space="preserve"> – удельная полная энергия газа, </w:t>
      </w:r>
      <w:r w:rsidR="00A20E44" w:rsidRPr="009E051E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57150" cy="152400"/>
            <wp:effectExtent l="0" t="0" r="0" b="0"/>
            <wp:docPr id="17" name="Изображение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051E">
        <w:rPr>
          <w:rFonts w:ascii="Times New Roman" w:hAnsi="Times New Roman" w:cs="Times New Roman"/>
          <w:sz w:val="18"/>
          <w:szCs w:val="18"/>
        </w:rPr>
        <w:t xml:space="preserve"> – удельная внутренняя энергия газа, </w:t>
      </w:r>
      <w:r w:rsidR="00A20E44" w:rsidRPr="009E051E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219075" cy="152400"/>
            <wp:effectExtent l="0" t="0" r="0" b="0"/>
            <wp:docPr id="18" name="Изображение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051E">
        <w:rPr>
          <w:rFonts w:ascii="Times New Roman" w:hAnsi="Times New Roman" w:cs="Times New Roman"/>
          <w:sz w:val="18"/>
          <w:szCs w:val="18"/>
        </w:rPr>
        <w:t xml:space="preserve">турбулентная вязкость, </w:t>
      </w:r>
      <w:r w:rsidR="00A20E44" w:rsidRPr="009E051E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04775" cy="152400"/>
            <wp:effectExtent l="0" t="0" r="0" b="0"/>
            <wp:docPr id="19" name="Изображение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051E">
        <w:rPr>
          <w:rFonts w:ascii="Times New Roman" w:hAnsi="Times New Roman" w:cs="Times New Roman"/>
          <w:sz w:val="18"/>
          <w:szCs w:val="18"/>
        </w:rPr>
        <w:t xml:space="preserve"> =0.85.</w:t>
      </w:r>
    </w:p>
    <w:p w:rsidR="00AA0119" w:rsidRPr="009E051E" w:rsidRDefault="00AA0119" w:rsidP="009E051E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9E051E">
        <w:rPr>
          <w:rFonts w:ascii="Times New Roman" w:hAnsi="Times New Roman" w:cs="Times New Roman"/>
          <w:sz w:val="18"/>
          <w:szCs w:val="18"/>
        </w:rPr>
        <w:t xml:space="preserve">В качестве модели турбулентности используется двухслойная модель переноса сдвиговых напряжений </w:t>
      </w:r>
      <w:r w:rsidRPr="009E051E">
        <w:rPr>
          <w:rFonts w:ascii="Times New Roman" w:hAnsi="Times New Roman" w:cs="Times New Roman"/>
          <w:sz w:val="18"/>
          <w:szCs w:val="18"/>
          <w:lang w:val="en-US"/>
        </w:rPr>
        <w:t>SST</w:t>
      </w:r>
      <w:r w:rsidRPr="009E051E">
        <w:rPr>
          <w:rFonts w:ascii="Times New Roman" w:hAnsi="Times New Roman" w:cs="Times New Roman"/>
          <w:sz w:val="18"/>
          <w:szCs w:val="18"/>
        </w:rPr>
        <w:t xml:space="preserve"> </w:t>
      </w:r>
      <w:r w:rsidRPr="009E051E">
        <w:rPr>
          <w:rFonts w:ascii="Times New Roman" w:hAnsi="Times New Roman" w:cs="Times New Roman"/>
          <w:sz w:val="18"/>
          <w:szCs w:val="18"/>
          <w:lang w:val="en-US"/>
        </w:rPr>
        <w:t>k</w:t>
      </w:r>
      <w:r w:rsidRPr="009E051E">
        <w:rPr>
          <w:rFonts w:ascii="Times New Roman" w:hAnsi="Times New Roman" w:cs="Times New Roman"/>
          <w:sz w:val="18"/>
          <w:szCs w:val="18"/>
        </w:rPr>
        <w:t>-</w:t>
      </w:r>
      <w:r w:rsidRPr="009E051E">
        <w:rPr>
          <w:rFonts w:ascii="Times New Roman" w:hAnsi="Times New Roman" w:cs="Times New Roman"/>
          <w:sz w:val="18"/>
          <w:szCs w:val="18"/>
          <w:lang w:val="en-US"/>
        </w:rPr>
        <w:t>omega</w:t>
      </w:r>
      <w:r w:rsidRPr="009E051E">
        <w:rPr>
          <w:rFonts w:ascii="Times New Roman" w:hAnsi="Times New Roman" w:cs="Times New Roman"/>
          <w:sz w:val="18"/>
          <w:szCs w:val="18"/>
        </w:rPr>
        <w:t xml:space="preserve"> </w:t>
      </w:r>
      <w:r w:rsidRPr="009E051E">
        <w:rPr>
          <w:rFonts w:ascii="Times New Roman" w:hAnsi="Times New Roman" w:cs="Times New Roman"/>
          <w:sz w:val="18"/>
          <w:szCs w:val="18"/>
          <w:lang w:val="en-US"/>
        </w:rPr>
        <w:t>model</w:t>
      </w:r>
      <w:r w:rsidRPr="009E051E">
        <w:rPr>
          <w:rFonts w:ascii="Times New Roman" w:hAnsi="Times New Roman" w:cs="Times New Roman"/>
          <w:color w:val="000000"/>
          <w:sz w:val="18"/>
          <w:szCs w:val="18"/>
        </w:rPr>
        <w:t xml:space="preserve"> (наиболее гибкая модель)</w:t>
      </w:r>
      <w:r w:rsidRPr="009E051E">
        <w:rPr>
          <w:rFonts w:ascii="Times New Roman" w:hAnsi="Times New Roman" w:cs="Times New Roman"/>
          <w:sz w:val="18"/>
          <w:szCs w:val="18"/>
        </w:rPr>
        <w:t xml:space="preserve">, позволяющая хорошо считать, как пристеночные течения, так и течения внутри большой расчетной области. Данная модель хорошо зарекомендовала себя за более чем 20-ти летнюю историю применения и позволяет использовать ее для большинства течений, в том числе реагирующих течений в каналах. </w:t>
      </w:r>
    </w:p>
    <w:p w:rsidR="00AA0119" w:rsidRPr="009E051E" w:rsidRDefault="00AA0119" w:rsidP="009E051E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9E051E">
        <w:rPr>
          <w:rFonts w:ascii="Times New Roman" w:hAnsi="Times New Roman" w:cs="Times New Roman"/>
          <w:sz w:val="18"/>
          <w:szCs w:val="18"/>
        </w:rPr>
        <w:t>Уравнения модели турбулентности имеют вид:</w:t>
      </w:r>
    </w:p>
    <w:p w:rsidR="00AA0119" w:rsidRPr="009E051E" w:rsidRDefault="00A20E44" w:rsidP="009E051E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9E051E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3152775" cy="333375"/>
            <wp:effectExtent l="0" t="0" r="0" b="0"/>
            <wp:docPr id="20" name="Изображение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119" w:rsidRPr="009E051E" w:rsidRDefault="00A20E44" w:rsidP="009E051E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9E051E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3381375" cy="333375"/>
            <wp:effectExtent l="0" t="0" r="0" b="0"/>
            <wp:docPr id="21" name="Изображение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119" w:rsidRPr="009E051E" w:rsidRDefault="00AA0119" w:rsidP="009E051E">
      <w:pPr>
        <w:spacing w:after="0" w:line="20" w:lineRule="atLeast"/>
        <w:ind w:firstLine="709"/>
        <w:jc w:val="both"/>
        <w:rPr>
          <w:rStyle w:val="10"/>
          <w:rFonts w:ascii="Times New Roman" w:hAnsi="Times New Roman"/>
          <w:sz w:val="18"/>
          <w:szCs w:val="18"/>
        </w:rPr>
      </w:pPr>
      <w:r w:rsidRPr="009E051E">
        <w:rPr>
          <w:rFonts w:ascii="Times New Roman" w:hAnsi="Times New Roman" w:cs="Times New Roman"/>
          <w:sz w:val="18"/>
          <w:szCs w:val="18"/>
        </w:rPr>
        <w:lastRenderedPageBreak/>
        <w:t xml:space="preserve">где </w:t>
      </w:r>
      <w:r w:rsidR="00A20E44" w:rsidRPr="009E051E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04775" cy="152400"/>
            <wp:effectExtent l="0" t="0" r="0" b="0"/>
            <wp:docPr id="22" name="Изображение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051E">
        <w:rPr>
          <w:rFonts w:ascii="Times New Roman" w:hAnsi="Times New Roman" w:cs="Times New Roman"/>
          <w:sz w:val="18"/>
          <w:szCs w:val="18"/>
        </w:rPr>
        <w:t xml:space="preserve"> и </w:t>
      </w:r>
      <w:r w:rsidR="00A20E44" w:rsidRPr="009E051E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23825" cy="152400"/>
            <wp:effectExtent l="0" t="0" r="0" b="0"/>
            <wp:docPr id="23" name="Изображение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051E">
        <w:rPr>
          <w:rFonts w:ascii="Times New Roman" w:hAnsi="Times New Roman" w:cs="Times New Roman"/>
          <w:sz w:val="18"/>
          <w:szCs w:val="18"/>
        </w:rPr>
        <w:t xml:space="preserve"> – эффективная диффузия кинетической энергии турбулентности </w:t>
      </w:r>
      <w:r w:rsidRPr="009E051E">
        <w:rPr>
          <w:rFonts w:ascii="Times New Roman" w:hAnsi="Times New Roman" w:cs="Times New Roman"/>
          <w:i/>
          <w:iCs/>
          <w:sz w:val="18"/>
          <w:szCs w:val="18"/>
          <w:lang w:val="en-US"/>
        </w:rPr>
        <w:t>k</w:t>
      </w:r>
      <w:r w:rsidRPr="009E051E">
        <w:rPr>
          <w:rFonts w:ascii="Times New Roman" w:hAnsi="Times New Roman" w:cs="Times New Roman"/>
          <w:sz w:val="18"/>
          <w:szCs w:val="18"/>
        </w:rPr>
        <w:t xml:space="preserve"> и ω соответственно, </w:t>
      </w:r>
      <w:r w:rsidR="00A20E44" w:rsidRPr="009E051E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23825" cy="161925"/>
            <wp:effectExtent l="0" t="0" r="0" b="0"/>
            <wp:docPr id="24" name="Изображение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4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051E">
        <w:rPr>
          <w:rFonts w:ascii="Times New Roman" w:hAnsi="Times New Roman" w:cs="Times New Roman"/>
          <w:sz w:val="18"/>
          <w:szCs w:val="18"/>
        </w:rPr>
        <w:t xml:space="preserve">- отвечает за производство кинетической энергии турбулентности </w:t>
      </w:r>
      <w:r w:rsidRPr="009E051E">
        <w:rPr>
          <w:rFonts w:ascii="Times New Roman" w:hAnsi="Times New Roman" w:cs="Times New Roman"/>
          <w:i/>
          <w:iCs/>
          <w:sz w:val="18"/>
          <w:szCs w:val="18"/>
          <w:lang w:val="en-US"/>
        </w:rPr>
        <w:t>k</w:t>
      </w:r>
      <w:r w:rsidRPr="009E051E">
        <w:rPr>
          <w:rFonts w:ascii="Times New Roman" w:hAnsi="Times New Roman" w:cs="Times New Roman"/>
          <w:sz w:val="18"/>
          <w:szCs w:val="18"/>
        </w:rPr>
        <w:t xml:space="preserve"> за счет градиента скорости, </w:t>
      </w:r>
      <w:r w:rsidR="00A20E44" w:rsidRPr="009E051E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42875" cy="152400"/>
            <wp:effectExtent l="0" t="0" r="0" b="0"/>
            <wp:docPr id="25" name="Изображение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5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051E">
        <w:rPr>
          <w:rFonts w:ascii="Times New Roman" w:hAnsi="Times New Roman" w:cs="Times New Roman"/>
          <w:sz w:val="18"/>
          <w:szCs w:val="18"/>
        </w:rPr>
        <w:t xml:space="preserve"> – отвечает за производство ω, </w:t>
      </w:r>
      <w:r w:rsidR="00A20E44" w:rsidRPr="009E051E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04775" cy="152400"/>
            <wp:effectExtent l="0" t="0" r="0" b="0"/>
            <wp:docPr id="26" name="Изображение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6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051E">
        <w:rPr>
          <w:rFonts w:ascii="Times New Roman" w:hAnsi="Times New Roman" w:cs="Times New Roman"/>
          <w:sz w:val="18"/>
          <w:szCs w:val="18"/>
        </w:rPr>
        <w:t xml:space="preserve"> и </w:t>
      </w:r>
      <w:r w:rsidR="00A20E44" w:rsidRPr="009E051E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23825" cy="152400"/>
            <wp:effectExtent l="0" t="0" r="0" b="0"/>
            <wp:docPr id="27" name="Изображение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7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051E">
        <w:rPr>
          <w:rFonts w:ascii="Times New Roman" w:hAnsi="Times New Roman" w:cs="Times New Roman"/>
          <w:sz w:val="18"/>
          <w:szCs w:val="18"/>
        </w:rPr>
        <w:t xml:space="preserve"> – отвечают за диссипацию </w:t>
      </w:r>
      <w:r w:rsidRPr="009E051E">
        <w:rPr>
          <w:rFonts w:ascii="Times New Roman" w:hAnsi="Times New Roman" w:cs="Times New Roman"/>
          <w:i/>
          <w:iCs/>
          <w:sz w:val="18"/>
          <w:szCs w:val="18"/>
          <w:lang w:val="en-US"/>
        </w:rPr>
        <w:t>k</w:t>
      </w:r>
      <w:r w:rsidRPr="009E051E">
        <w:rPr>
          <w:rFonts w:ascii="Times New Roman" w:hAnsi="Times New Roman" w:cs="Times New Roman"/>
          <w:sz w:val="18"/>
          <w:szCs w:val="18"/>
        </w:rPr>
        <w:t xml:space="preserve"> и ω за счет турбулентности, </w:t>
      </w:r>
      <w:r w:rsidR="00A20E44" w:rsidRPr="009E051E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42875" cy="152400"/>
            <wp:effectExtent l="0" t="0" r="0" b="0"/>
            <wp:docPr id="28" name="Изображение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8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051E">
        <w:rPr>
          <w:rFonts w:ascii="Times New Roman" w:hAnsi="Times New Roman" w:cs="Times New Roman"/>
          <w:sz w:val="18"/>
          <w:szCs w:val="18"/>
        </w:rPr>
        <w:t xml:space="preserve"> – перекрестный диффузионный член, </w:t>
      </w:r>
      <w:r w:rsidR="00A20E44" w:rsidRPr="009E051E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14300" cy="152400"/>
            <wp:effectExtent l="0" t="0" r="0" b="0"/>
            <wp:docPr id="29" name="Изображение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9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051E">
        <w:rPr>
          <w:rFonts w:ascii="Times New Roman" w:hAnsi="Times New Roman" w:cs="Times New Roman"/>
          <w:sz w:val="18"/>
          <w:szCs w:val="18"/>
        </w:rPr>
        <w:t xml:space="preserve"> и </w:t>
      </w:r>
      <w:r w:rsidR="00A20E44" w:rsidRPr="009E051E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33350" cy="152400"/>
            <wp:effectExtent l="0" t="0" r="0" b="0"/>
            <wp:docPr id="30" name="Изображение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30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051E">
        <w:rPr>
          <w:rFonts w:ascii="Times New Roman" w:hAnsi="Times New Roman" w:cs="Times New Roman"/>
          <w:sz w:val="18"/>
          <w:szCs w:val="18"/>
        </w:rPr>
        <w:t xml:space="preserve"> - источниковые члены, задаваемые пользователем исходя из условий задачи.</w:t>
      </w:r>
    </w:p>
    <w:p w:rsidR="00AA0119" w:rsidRPr="009E051E" w:rsidRDefault="00AA0119" w:rsidP="009E051E">
      <w:pPr>
        <w:spacing w:after="0" w:line="20" w:lineRule="atLeast"/>
        <w:ind w:firstLine="709"/>
        <w:jc w:val="both"/>
        <w:rPr>
          <w:rStyle w:val="a3"/>
          <w:rFonts w:ascii="Times New Roman" w:hAnsi="Times New Roman"/>
          <w:b w:val="0"/>
          <w:bCs w:val="0"/>
          <w:sz w:val="18"/>
          <w:szCs w:val="18"/>
        </w:rPr>
      </w:pPr>
      <w:r w:rsidRPr="009E051E">
        <w:rPr>
          <w:rFonts w:ascii="Times New Roman" w:hAnsi="Times New Roman" w:cs="Times New Roman"/>
          <w:sz w:val="18"/>
          <w:szCs w:val="18"/>
        </w:rPr>
        <w:t xml:space="preserve">Для моделирования процесса горения используется равновесная </w:t>
      </w:r>
      <w:r w:rsidRPr="009E051E">
        <w:rPr>
          <w:rStyle w:val="a3"/>
          <w:rFonts w:ascii="Times New Roman" w:hAnsi="Times New Roman"/>
          <w:b w:val="0"/>
          <w:bCs w:val="0"/>
          <w:sz w:val="18"/>
          <w:szCs w:val="18"/>
        </w:rPr>
        <w:t>модель предварительно не перемешанных компонент</w:t>
      </w:r>
      <w:r w:rsidRPr="009E051E">
        <w:rPr>
          <w:rStyle w:val="a3"/>
          <w:rFonts w:ascii="Times New Roman" w:hAnsi="Times New Roman"/>
          <w:sz w:val="18"/>
          <w:szCs w:val="18"/>
        </w:rPr>
        <w:t xml:space="preserve"> (</w:t>
      </w:r>
      <w:r w:rsidRPr="009E051E">
        <w:rPr>
          <w:rFonts w:ascii="Times New Roman" w:hAnsi="Times New Roman" w:cs="Times New Roman"/>
          <w:sz w:val="18"/>
          <w:szCs w:val="18"/>
          <w:lang w:val="en-US"/>
        </w:rPr>
        <w:t>Non</w:t>
      </w:r>
      <w:r w:rsidRPr="009E051E">
        <w:rPr>
          <w:rFonts w:ascii="Times New Roman" w:hAnsi="Times New Roman" w:cs="Times New Roman"/>
          <w:sz w:val="18"/>
          <w:szCs w:val="18"/>
        </w:rPr>
        <w:t>-</w:t>
      </w:r>
      <w:r w:rsidRPr="009E051E">
        <w:rPr>
          <w:rFonts w:ascii="Times New Roman" w:hAnsi="Times New Roman" w:cs="Times New Roman"/>
          <w:sz w:val="18"/>
          <w:szCs w:val="18"/>
          <w:lang w:val="en-US"/>
        </w:rPr>
        <w:t>Premixed</w:t>
      </w:r>
      <w:r w:rsidRPr="009E051E">
        <w:rPr>
          <w:rFonts w:ascii="Times New Roman" w:hAnsi="Times New Roman" w:cs="Times New Roman"/>
          <w:sz w:val="18"/>
          <w:szCs w:val="18"/>
        </w:rPr>
        <w:t xml:space="preserve"> </w:t>
      </w:r>
      <w:r w:rsidRPr="009E051E">
        <w:rPr>
          <w:rFonts w:ascii="Times New Roman" w:hAnsi="Times New Roman" w:cs="Times New Roman"/>
          <w:sz w:val="18"/>
          <w:szCs w:val="18"/>
          <w:lang w:val="en-US"/>
        </w:rPr>
        <w:t>Equilibrium</w:t>
      </w:r>
      <w:r w:rsidRPr="009E051E">
        <w:rPr>
          <w:rFonts w:ascii="Times New Roman" w:hAnsi="Times New Roman" w:cs="Times New Roman"/>
          <w:sz w:val="18"/>
          <w:szCs w:val="18"/>
        </w:rPr>
        <w:t xml:space="preserve"> </w:t>
      </w:r>
      <w:r w:rsidRPr="009E051E">
        <w:rPr>
          <w:rFonts w:ascii="Times New Roman" w:hAnsi="Times New Roman" w:cs="Times New Roman"/>
          <w:sz w:val="18"/>
          <w:szCs w:val="18"/>
          <w:lang w:val="en-US"/>
        </w:rPr>
        <w:t>Model</w:t>
      </w:r>
      <w:r w:rsidRPr="009E051E">
        <w:rPr>
          <w:rStyle w:val="a3"/>
          <w:rFonts w:ascii="Times New Roman" w:hAnsi="Times New Roman"/>
          <w:sz w:val="18"/>
          <w:szCs w:val="18"/>
        </w:rPr>
        <w:t xml:space="preserve">). </w:t>
      </w:r>
      <w:r w:rsidRPr="009E051E">
        <w:rPr>
          <w:rStyle w:val="a3"/>
          <w:rFonts w:ascii="Times New Roman" w:hAnsi="Times New Roman"/>
          <w:b w:val="0"/>
          <w:bCs w:val="0"/>
          <w:sz w:val="18"/>
          <w:szCs w:val="18"/>
        </w:rPr>
        <w:t>Она</w:t>
      </w:r>
      <w:r w:rsidRPr="009E051E">
        <w:rPr>
          <w:rStyle w:val="a3"/>
          <w:rFonts w:ascii="Times New Roman" w:hAnsi="Times New Roman"/>
          <w:sz w:val="18"/>
          <w:szCs w:val="18"/>
        </w:rPr>
        <w:t xml:space="preserve"> </w:t>
      </w:r>
      <w:r w:rsidRPr="009E051E">
        <w:rPr>
          <w:rStyle w:val="a3"/>
          <w:rFonts w:ascii="Times New Roman" w:hAnsi="Times New Roman"/>
          <w:b w:val="0"/>
          <w:bCs w:val="0"/>
          <w:sz w:val="18"/>
          <w:szCs w:val="18"/>
        </w:rPr>
        <w:t xml:space="preserve">была разработана для моделирования диффузионных турбулентных племён и основана на использовании понятия переменной смешения f. </w:t>
      </w:r>
    </w:p>
    <w:p w:rsidR="00AA0119" w:rsidRPr="009E051E" w:rsidRDefault="00AA0119" w:rsidP="009E051E">
      <w:pPr>
        <w:spacing w:after="0" w:line="20" w:lineRule="atLeast"/>
        <w:ind w:firstLine="709"/>
        <w:jc w:val="both"/>
        <w:rPr>
          <w:rStyle w:val="a3"/>
          <w:rFonts w:ascii="Times New Roman" w:hAnsi="Times New Roman"/>
          <w:b w:val="0"/>
          <w:bCs w:val="0"/>
          <w:sz w:val="18"/>
          <w:szCs w:val="18"/>
        </w:rPr>
      </w:pPr>
      <w:r w:rsidRPr="009E051E">
        <w:rPr>
          <w:rStyle w:val="a3"/>
          <w:rFonts w:ascii="Times New Roman" w:hAnsi="Times New Roman"/>
          <w:b w:val="0"/>
          <w:bCs w:val="0"/>
          <w:sz w:val="18"/>
          <w:szCs w:val="18"/>
        </w:rPr>
        <w:t xml:space="preserve">Переменная смешения f используется для характеристики диффузионных племён и представляет собой отношение массового расхода горючего компонента </w:t>
      </w:r>
      <w:r w:rsidR="00A20E44" w:rsidRPr="009E051E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238125" cy="171450"/>
            <wp:effectExtent l="0" t="0" r="0" b="0"/>
            <wp:docPr id="31" name="Изображение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31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051E">
        <w:rPr>
          <w:rStyle w:val="a3"/>
          <w:rFonts w:ascii="Times New Roman" w:hAnsi="Times New Roman"/>
          <w:b w:val="0"/>
          <w:bCs w:val="0"/>
          <w:sz w:val="18"/>
          <w:szCs w:val="18"/>
        </w:rPr>
        <w:t xml:space="preserve"> к суммарному массовому расходу компонентов горючего и окислителя: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167"/>
        <w:gridCol w:w="985"/>
      </w:tblGrid>
      <w:tr w:rsidR="00AA0119" w:rsidRPr="009E051E">
        <w:trPr>
          <w:trHeight w:val="585"/>
          <w:jc w:val="center"/>
        </w:trPr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</w:tcPr>
          <w:p w:rsidR="00AA0119" w:rsidRPr="009E051E" w:rsidRDefault="00A20E44" w:rsidP="009E051E">
            <w:pPr>
              <w:spacing w:after="0" w:line="20" w:lineRule="atLeast"/>
              <w:ind w:firstLine="709"/>
              <w:jc w:val="center"/>
              <w:rPr>
                <w:rStyle w:val="a3"/>
                <w:rFonts w:ascii="Times New Roman" w:hAnsi="Times New Roman"/>
                <w:sz w:val="18"/>
                <w:szCs w:val="18"/>
              </w:rPr>
            </w:pPr>
            <w:r w:rsidRPr="009E051E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781050" cy="323850"/>
                  <wp:effectExtent l="0" t="0" r="0" b="0"/>
                  <wp:docPr id="32" name="Изображение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:rsidR="00AA0119" w:rsidRPr="009E051E" w:rsidRDefault="00AA0119" w:rsidP="009E051E">
            <w:pPr>
              <w:spacing w:after="0" w:line="20" w:lineRule="atLeast"/>
              <w:ind w:firstLine="709"/>
              <w:rPr>
                <w:rStyle w:val="a3"/>
                <w:rFonts w:ascii="Times New Roman" w:hAnsi="Times New Roman"/>
                <w:b w:val="0"/>
                <w:bCs w:val="0"/>
                <w:sz w:val="18"/>
                <w:szCs w:val="18"/>
                <w:lang w:val="en-US"/>
              </w:rPr>
            </w:pPr>
            <w:r w:rsidRPr="009E051E">
              <w:rPr>
                <w:rStyle w:val="a3"/>
                <w:rFonts w:ascii="Times New Roman" w:hAnsi="Times New Roman"/>
                <w:sz w:val="18"/>
                <w:szCs w:val="18"/>
                <w:lang w:val="en-US"/>
              </w:rPr>
              <w:t xml:space="preserve"> (</w:t>
            </w:r>
            <w:r w:rsidRPr="009E051E">
              <w:rPr>
                <w:rStyle w:val="a3"/>
                <w:rFonts w:ascii="Times New Roman" w:hAnsi="Times New Roman"/>
                <w:b w:val="0"/>
                <w:bCs w:val="0"/>
                <w:sz w:val="18"/>
                <w:szCs w:val="18"/>
                <w:lang w:val="en-US"/>
              </w:rPr>
              <w:t>1.7)</w:t>
            </w:r>
          </w:p>
        </w:tc>
      </w:tr>
    </w:tbl>
    <w:p w:rsidR="00AA0119" w:rsidRPr="009E051E" w:rsidRDefault="00AA0119" w:rsidP="009E051E">
      <w:pPr>
        <w:spacing w:after="0" w:line="20" w:lineRule="atLeast"/>
        <w:ind w:firstLine="709"/>
        <w:jc w:val="both"/>
        <w:rPr>
          <w:rStyle w:val="a3"/>
          <w:rFonts w:ascii="Times New Roman" w:hAnsi="Times New Roman"/>
          <w:b w:val="0"/>
          <w:bCs w:val="0"/>
          <w:sz w:val="18"/>
          <w:szCs w:val="18"/>
        </w:rPr>
      </w:pPr>
      <w:r w:rsidRPr="009E051E">
        <w:rPr>
          <w:rStyle w:val="a3"/>
          <w:rFonts w:ascii="Times New Roman" w:hAnsi="Times New Roman"/>
          <w:b w:val="0"/>
          <w:bCs w:val="0"/>
          <w:sz w:val="18"/>
          <w:szCs w:val="18"/>
        </w:rPr>
        <w:t>На входной границе горючего компонента f=1, на входной границе окислителя f=0, а в других областях переменная смешения показывает, какую долю в точке пространства занимает поток горючего компонента.</w:t>
      </w:r>
    </w:p>
    <w:p w:rsidR="00AA0119" w:rsidRPr="009E051E" w:rsidRDefault="00AA0119" w:rsidP="009E051E">
      <w:pPr>
        <w:spacing w:after="0" w:line="20" w:lineRule="atLeast"/>
        <w:ind w:firstLine="709"/>
        <w:jc w:val="both"/>
        <w:rPr>
          <w:rStyle w:val="a3"/>
          <w:rFonts w:ascii="Times New Roman" w:hAnsi="Times New Roman"/>
          <w:b w:val="0"/>
          <w:bCs w:val="0"/>
          <w:sz w:val="18"/>
          <w:szCs w:val="18"/>
        </w:rPr>
      </w:pPr>
      <w:r w:rsidRPr="009E051E">
        <w:rPr>
          <w:rStyle w:val="a3"/>
          <w:rFonts w:ascii="Times New Roman" w:hAnsi="Times New Roman"/>
          <w:b w:val="0"/>
          <w:bCs w:val="0"/>
          <w:sz w:val="18"/>
          <w:szCs w:val="18"/>
        </w:rPr>
        <w:t>При построении такой равновесной модели вводится ряд допущений и условий, в рамках которых она может быть использована. К ним относятся:</w:t>
      </w:r>
    </w:p>
    <w:p w:rsidR="00AA0119" w:rsidRPr="009E051E" w:rsidRDefault="00AA0119" w:rsidP="009E051E">
      <w:pPr>
        <w:spacing w:after="0" w:line="20" w:lineRule="atLeast"/>
        <w:ind w:firstLine="709"/>
        <w:jc w:val="both"/>
        <w:rPr>
          <w:rStyle w:val="a3"/>
          <w:rFonts w:ascii="Times New Roman" w:hAnsi="Times New Roman"/>
          <w:b w:val="0"/>
          <w:bCs w:val="0"/>
          <w:sz w:val="18"/>
          <w:szCs w:val="18"/>
        </w:rPr>
      </w:pPr>
      <w:r w:rsidRPr="009E051E">
        <w:rPr>
          <w:rStyle w:val="a3"/>
          <w:rFonts w:ascii="Times New Roman" w:hAnsi="Times New Roman"/>
          <w:b w:val="0"/>
          <w:bCs w:val="0"/>
          <w:sz w:val="18"/>
          <w:szCs w:val="18"/>
        </w:rPr>
        <w:t>- потоки горючего и окислителя подаются раздельно в камеру сгорания;</w:t>
      </w:r>
    </w:p>
    <w:p w:rsidR="00AA0119" w:rsidRPr="009E051E" w:rsidRDefault="00AA0119" w:rsidP="009E051E">
      <w:pPr>
        <w:spacing w:after="0" w:line="20" w:lineRule="atLeast"/>
        <w:ind w:firstLine="709"/>
        <w:jc w:val="both"/>
        <w:rPr>
          <w:rStyle w:val="a3"/>
          <w:rFonts w:ascii="Times New Roman" w:hAnsi="Times New Roman"/>
          <w:b w:val="0"/>
          <w:bCs w:val="0"/>
          <w:sz w:val="18"/>
          <w:szCs w:val="18"/>
        </w:rPr>
      </w:pPr>
      <w:r w:rsidRPr="009E051E">
        <w:rPr>
          <w:rStyle w:val="a3"/>
          <w:rFonts w:ascii="Times New Roman" w:hAnsi="Times New Roman"/>
          <w:b w:val="0"/>
          <w:bCs w:val="0"/>
          <w:sz w:val="18"/>
          <w:szCs w:val="18"/>
        </w:rPr>
        <w:t xml:space="preserve">- равенство коэффициентов диффузии (это условие является приемлемым для турбулентных потоков); </w:t>
      </w:r>
    </w:p>
    <w:p w:rsidR="00AA0119" w:rsidRPr="009E051E" w:rsidRDefault="00AA0119" w:rsidP="009E051E">
      <w:pPr>
        <w:spacing w:after="0" w:line="20" w:lineRule="atLeast"/>
        <w:ind w:firstLine="709"/>
        <w:jc w:val="both"/>
        <w:rPr>
          <w:rStyle w:val="a3"/>
          <w:rFonts w:ascii="Times New Roman" w:hAnsi="Times New Roman"/>
          <w:b w:val="0"/>
          <w:bCs w:val="0"/>
          <w:sz w:val="18"/>
          <w:szCs w:val="18"/>
        </w:rPr>
      </w:pPr>
      <w:r w:rsidRPr="009E051E">
        <w:rPr>
          <w:rStyle w:val="a3"/>
          <w:rFonts w:ascii="Times New Roman" w:hAnsi="Times New Roman"/>
          <w:b w:val="0"/>
          <w:bCs w:val="0"/>
          <w:sz w:val="18"/>
          <w:szCs w:val="18"/>
        </w:rPr>
        <w:t xml:space="preserve">- число Льюиса </w:t>
      </w:r>
      <w:r w:rsidR="00A20E44" w:rsidRPr="009E051E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685800" cy="152400"/>
            <wp:effectExtent l="0" t="0" r="0" b="0"/>
            <wp:docPr id="33" name="Изображение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33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051E">
        <w:rPr>
          <w:rStyle w:val="a3"/>
          <w:rFonts w:ascii="Times New Roman" w:hAnsi="Times New Roman"/>
          <w:sz w:val="18"/>
          <w:szCs w:val="18"/>
        </w:rPr>
        <w:t>,</w:t>
      </w:r>
      <w:r w:rsidRPr="009E051E">
        <w:rPr>
          <w:rStyle w:val="a3"/>
          <w:rFonts w:ascii="Times New Roman" w:hAnsi="Times New Roman"/>
          <w:b w:val="0"/>
          <w:bCs w:val="0"/>
          <w:sz w:val="18"/>
          <w:szCs w:val="18"/>
        </w:rPr>
        <w:t xml:space="preserve"> где D – коэффициент диффузии, a – коэффициент температуропроводности. В рамках данного допущения интенсивности переноса массы примеси диффузией и переноса теплоты теплопроводностью одного порядка, уравнения диффузии и теплопроводности становятся идентичными, а профили избыточных концентраций и температур оказываются подобными;</w:t>
      </w:r>
    </w:p>
    <w:p w:rsidR="00AA0119" w:rsidRPr="009E051E" w:rsidRDefault="00AA0119" w:rsidP="009E051E">
      <w:pPr>
        <w:spacing w:after="0" w:line="20" w:lineRule="atLeast"/>
        <w:ind w:firstLine="709"/>
        <w:jc w:val="both"/>
        <w:rPr>
          <w:rStyle w:val="a3"/>
          <w:rFonts w:ascii="Times New Roman" w:hAnsi="Times New Roman"/>
          <w:b w:val="0"/>
          <w:bCs w:val="0"/>
          <w:sz w:val="18"/>
          <w:szCs w:val="18"/>
        </w:rPr>
      </w:pPr>
      <w:r w:rsidRPr="009E051E">
        <w:rPr>
          <w:rStyle w:val="a3"/>
          <w:rFonts w:ascii="Times New Roman" w:hAnsi="Times New Roman"/>
          <w:b w:val="0"/>
          <w:bCs w:val="0"/>
          <w:sz w:val="18"/>
          <w:szCs w:val="18"/>
        </w:rPr>
        <w:t xml:space="preserve">В рамках принятых допущений уравнения переноса компонентов можно свести к единственному уравнению относительно сохраняющейся скалярной величины – переменной смешения f. В этом уравнении отсутствуют нелинейные источниковые члены, т.к. переменная смешения по своему определению привязана не к компонентам (CO, </w:t>
      </w:r>
      <w:r w:rsidRPr="009E051E">
        <w:rPr>
          <w:rStyle w:val="a3"/>
          <w:rFonts w:ascii="Times New Roman" w:hAnsi="Times New Roman"/>
          <w:b w:val="0"/>
          <w:bCs w:val="0"/>
          <w:sz w:val="18"/>
          <w:szCs w:val="18"/>
          <w:lang w:val="en-US"/>
        </w:rPr>
        <w:t>CO</w:t>
      </w:r>
      <w:r w:rsidRPr="009E051E">
        <w:rPr>
          <w:rStyle w:val="a3"/>
          <w:rFonts w:ascii="Times New Roman" w:hAnsi="Times New Roman"/>
          <w:b w:val="0"/>
          <w:bCs w:val="0"/>
          <w:sz w:val="18"/>
          <w:szCs w:val="18"/>
          <w:vertAlign w:val="subscript"/>
        </w:rPr>
        <w:t>2</w:t>
      </w:r>
      <w:r w:rsidRPr="009E051E">
        <w:rPr>
          <w:rStyle w:val="a3"/>
          <w:rFonts w:ascii="Times New Roman" w:hAnsi="Times New Roman"/>
          <w:b w:val="0"/>
          <w:bCs w:val="0"/>
          <w:sz w:val="18"/>
          <w:szCs w:val="18"/>
        </w:rPr>
        <w:t xml:space="preserve"> и т.д.), а к атомам веществ (</w:t>
      </w:r>
      <w:r w:rsidRPr="009E051E">
        <w:rPr>
          <w:rStyle w:val="a3"/>
          <w:rFonts w:ascii="Times New Roman" w:hAnsi="Times New Roman"/>
          <w:b w:val="0"/>
          <w:bCs w:val="0"/>
          <w:sz w:val="18"/>
          <w:szCs w:val="18"/>
          <w:lang w:val="en-US"/>
        </w:rPr>
        <w:t>C</w:t>
      </w:r>
      <w:r w:rsidRPr="009E051E">
        <w:rPr>
          <w:rStyle w:val="a3"/>
          <w:rFonts w:ascii="Times New Roman" w:hAnsi="Times New Roman"/>
          <w:b w:val="0"/>
          <w:bCs w:val="0"/>
          <w:sz w:val="18"/>
          <w:szCs w:val="18"/>
        </w:rPr>
        <w:t xml:space="preserve">, </w:t>
      </w:r>
      <w:r w:rsidRPr="009E051E">
        <w:rPr>
          <w:rStyle w:val="a3"/>
          <w:rFonts w:ascii="Times New Roman" w:hAnsi="Times New Roman"/>
          <w:b w:val="0"/>
          <w:bCs w:val="0"/>
          <w:sz w:val="18"/>
          <w:szCs w:val="18"/>
          <w:lang w:val="en-US"/>
        </w:rPr>
        <w:t>H</w:t>
      </w:r>
      <w:r w:rsidRPr="009E051E">
        <w:rPr>
          <w:rStyle w:val="a3"/>
          <w:rFonts w:ascii="Times New Roman" w:hAnsi="Times New Roman"/>
          <w:b w:val="0"/>
          <w:bCs w:val="0"/>
          <w:sz w:val="18"/>
          <w:szCs w:val="18"/>
        </w:rPr>
        <w:t xml:space="preserve">, </w:t>
      </w:r>
      <w:r w:rsidRPr="009E051E">
        <w:rPr>
          <w:rStyle w:val="a3"/>
          <w:rFonts w:ascii="Times New Roman" w:hAnsi="Times New Roman"/>
          <w:b w:val="0"/>
          <w:bCs w:val="0"/>
          <w:sz w:val="18"/>
          <w:szCs w:val="18"/>
          <w:lang w:val="en-US"/>
        </w:rPr>
        <w:t>O</w:t>
      </w:r>
      <w:r w:rsidRPr="009E051E">
        <w:rPr>
          <w:rStyle w:val="a3"/>
          <w:rFonts w:ascii="Times New Roman" w:hAnsi="Times New Roman"/>
          <w:b w:val="0"/>
          <w:bCs w:val="0"/>
          <w:sz w:val="18"/>
          <w:szCs w:val="18"/>
        </w:rPr>
        <w:t xml:space="preserve"> и т.д.). И поскольку при химических реакциях меняются массы веществ, а атомы остаются неизменными, то и переменная смешения является скалярной величиной без источника. Однако, бывают и исключения, например, испарение газообразной компоненты с поверхности частицы. В этом случае переменная смешения не является скалярной величиной.</w:t>
      </w:r>
    </w:p>
    <w:p w:rsidR="00AA0119" w:rsidRPr="009E051E" w:rsidRDefault="00AA0119" w:rsidP="009E051E">
      <w:pPr>
        <w:spacing w:after="0" w:line="20" w:lineRule="atLeast"/>
        <w:ind w:firstLine="709"/>
        <w:jc w:val="both"/>
        <w:rPr>
          <w:rStyle w:val="a3"/>
          <w:rFonts w:ascii="Times New Roman" w:hAnsi="Times New Roman"/>
          <w:b w:val="0"/>
          <w:bCs w:val="0"/>
          <w:sz w:val="18"/>
          <w:szCs w:val="18"/>
        </w:rPr>
      </w:pPr>
      <w:r w:rsidRPr="009E051E">
        <w:rPr>
          <w:rStyle w:val="a3"/>
          <w:rFonts w:ascii="Times New Roman" w:hAnsi="Times New Roman"/>
          <w:b w:val="0"/>
          <w:bCs w:val="0"/>
          <w:sz w:val="18"/>
          <w:szCs w:val="18"/>
        </w:rPr>
        <w:t>Уравнение переноса, осредненное по Фавру, имеет вид:</w:t>
      </w:r>
    </w:p>
    <w:p w:rsidR="00AA0119" w:rsidRPr="009E051E" w:rsidRDefault="00A20E44" w:rsidP="009E051E">
      <w:pPr>
        <w:spacing w:after="0" w:line="20" w:lineRule="atLeast"/>
        <w:ind w:firstLine="709"/>
        <w:jc w:val="right"/>
        <w:rPr>
          <w:rFonts w:ascii="Times New Roman" w:hAnsi="Times New Roman" w:cs="Times New Roman"/>
          <w:sz w:val="18"/>
          <w:szCs w:val="18"/>
        </w:rPr>
      </w:pPr>
      <w:r w:rsidRPr="009E051E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2733675" cy="304800"/>
            <wp:effectExtent l="0" t="0" r="0" b="0"/>
            <wp:docPr id="34" name="Изображение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34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119" w:rsidRPr="009E051E" w:rsidRDefault="00AA0119" w:rsidP="009E051E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9E051E">
        <w:rPr>
          <w:rStyle w:val="a3"/>
          <w:rFonts w:ascii="Times New Roman" w:hAnsi="Times New Roman"/>
          <w:b w:val="0"/>
          <w:bCs w:val="0"/>
          <w:sz w:val="18"/>
          <w:szCs w:val="18"/>
        </w:rPr>
        <w:t xml:space="preserve">где </w:t>
      </w:r>
      <w:r w:rsidR="00A20E44" w:rsidRPr="009E051E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95250" cy="152400"/>
            <wp:effectExtent l="0" t="0" r="0" b="0"/>
            <wp:docPr id="35" name="Изображение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35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051E">
        <w:rPr>
          <w:rFonts w:ascii="Times New Roman" w:hAnsi="Times New Roman" w:cs="Times New Roman"/>
          <w:sz w:val="18"/>
          <w:szCs w:val="18"/>
        </w:rPr>
        <w:t xml:space="preserve"> - турбулентная вязкость, </w:t>
      </w:r>
      <w:r w:rsidR="00A20E44" w:rsidRPr="009E051E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04775" cy="152400"/>
            <wp:effectExtent l="0" t="0" r="0" b="0"/>
            <wp:docPr id="36" name="Изображение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36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051E">
        <w:rPr>
          <w:rFonts w:ascii="Times New Roman" w:hAnsi="Times New Roman" w:cs="Times New Roman"/>
          <w:sz w:val="18"/>
          <w:szCs w:val="18"/>
        </w:rPr>
        <w:t xml:space="preserve"> - турбулентное число Прандтля.</w:t>
      </w:r>
    </w:p>
    <w:p w:rsidR="00AA0119" w:rsidRPr="009E051E" w:rsidRDefault="00AA0119" w:rsidP="009E051E">
      <w:pPr>
        <w:spacing w:after="0" w:line="20" w:lineRule="atLeast"/>
        <w:ind w:firstLine="709"/>
        <w:jc w:val="both"/>
        <w:rPr>
          <w:rStyle w:val="a3"/>
          <w:rFonts w:ascii="Times New Roman" w:hAnsi="Times New Roman"/>
          <w:b w:val="0"/>
          <w:bCs w:val="0"/>
          <w:sz w:val="18"/>
          <w:szCs w:val="18"/>
        </w:rPr>
      </w:pPr>
      <w:r w:rsidRPr="009E051E">
        <w:rPr>
          <w:rStyle w:val="a3"/>
          <w:rFonts w:ascii="Times New Roman" w:hAnsi="Times New Roman"/>
          <w:b w:val="0"/>
          <w:bCs w:val="0"/>
          <w:sz w:val="18"/>
          <w:szCs w:val="18"/>
        </w:rPr>
        <w:t>В рамках данной модели все массовые доли компонент Y</w:t>
      </w:r>
      <w:r w:rsidRPr="009E051E">
        <w:rPr>
          <w:rStyle w:val="a3"/>
          <w:rFonts w:ascii="Times New Roman" w:hAnsi="Times New Roman"/>
          <w:b w:val="0"/>
          <w:bCs w:val="0"/>
          <w:sz w:val="18"/>
          <w:szCs w:val="18"/>
          <w:vertAlign w:val="subscript"/>
          <w:lang w:val="en-US"/>
        </w:rPr>
        <w:t>i</w:t>
      </w:r>
      <w:r w:rsidRPr="009E051E">
        <w:rPr>
          <w:rStyle w:val="a3"/>
          <w:rFonts w:ascii="Times New Roman" w:hAnsi="Times New Roman"/>
          <w:b w:val="0"/>
          <w:bCs w:val="0"/>
          <w:sz w:val="18"/>
          <w:szCs w:val="18"/>
        </w:rPr>
        <w:t>, плотность</w:t>
      </w:r>
      <w:r w:rsidR="00A20E44" w:rsidRPr="009E051E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66675" cy="152400"/>
            <wp:effectExtent l="0" t="0" r="0" b="0"/>
            <wp:docPr id="37" name="Изображение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37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051E">
        <w:rPr>
          <w:rStyle w:val="a3"/>
          <w:rFonts w:ascii="Times New Roman" w:hAnsi="Times New Roman"/>
          <w:b w:val="0"/>
          <w:bCs w:val="0"/>
          <w:sz w:val="18"/>
          <w:szCs w:val="18"/>
        </w:rPr>
        <w:t>и температура T являются функциями только переменной смешения, т.е.</w:t>
      </w:r>
    </w:p>
    <w:p w:rsidR="00AA0119" w:rsidRPr="009E051E" w:rsidRDefault="00A20E44" w:rsidP="009E051E">
      <w:pPr>
        <w:spacing w:after="0" w:line="20" w:lineRule="atLeast"/>
        <w:ind w:firstLine="709"/>
        <w:jc w:val="center"/>
        <w:rPr>
          <w:rStyle w:val="a3"/>
          <w:rFonts w:ascii="Times New Roman" w:hAnsi="Times New Roman"/>
          <w:sz w:val="18"/>
          <w:szCs w:val="18"/>
        </w:rPr>
      </w:pPr>
      <w:r w:rsidRPr="009E051E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504825" cy="152400"/>
            <wp:effectExtent l="0" t="0" r="0" b="0"/>
            <wp:docPr id="38" name="Изображение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38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119" w:rsidRPr="009E051E" w:rsidRDefault="00AA0119" w:rsidP="009E051E">
      <w:pPr>
        <w:spacing w:after="0" w:line="20" w:lineRule="atLeast"/>
        <w:ind w:firstLine="709"/>
        <w:jc w:val="both"/>
        <w:rPr>
          <w:rStyle w:val="a3"/>
          <w:rFonts w:ascii="Times New Roman" w:hAnsi="Times New Roman"/>
          <w:b w:val="0"/>
          <w:bCs w:val="0"/>
          <w:sz w:val="18"/>
          <w:szCs w:val="18"/>
        </w:rPr>
      </w:pPr>
      <w:r w:rsidRPr="009E051E">
        <w:rPr>
          <w:rStyle w:val="a3"/>
          <w:rFonts w:ascii="Times New Roman" w:hAnsi="Times New Roman"/>
          <w:b w:val="0"/>
          <w:bCs w:val="0"/>
          <w:sz w:val="18"/>
          <w:szCs w:val="18"/>
        </w:rPr>
        <w:t xml:space="preserve">В случае, когда рассматривается не адиабатный процесс, искомые параметры будут зависеть еще и от энтальпии </w:t>
      </w:r>
      <w:r w:rsidRPr="009E051E">
        <w:rPr>
          <w:rStyle w:val="a3"/>
          <w:rFonts w:ascii="Times New Roman" w:hAnsi="Times New Roman"/>
          <w:b w:val="0"/>
          <w:bCs w:val="0"/>
          <w:sz w:val="18"/>
          <w:szCs w:val="18"/>
          <w:lang w:val="en-US"/>
        </w:rPr>
        <w:t>h</w:t>
      </w:r>
      <w:r w:rsidRPr="009E051E">
        <w:rPr>
          <w:rStyle w:val="a3"/>
          <w:rFonts w:ascii="Times New Roman" w:hAnsi="Times New Roman"/>
          <w:b w:val="0"/>
          <w:bCs w:val="0"/>
          <w:sz w:val="18"/>
          <w:szCs w:val="18"/>
        </w:rPr>
        <w:t>:</w:t>
      </w:r>
    </w:p>
    <w:p w:rsidR="00AA0119" w:rsidRPr="009E051E" w:rsidRDefault="00A20E44" w:rsidP="009E051E">
      <w:pPr>
        <w:spacing w:after="0" w:line="20" w:lineRule="atLeast"/>
        <w:ind w:firstLine="709"/>
        <w:jc w:val="center"/>
        <w:rPr>
          <w:rStyle w:val="a3"/>
          <w:rFonts w:ascii="Times New Roman" w:hAnsi="Times New Roman"/>
          <w:sz w:val="18"/>
          <w:szCs w:val="18"/>
        </w:rPr>
      </w:pPr>
      <w:r w:rsidRPr="009E051E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609600" cy="152400"/>
            <wp:effectExtent l="0" t="0" r="0" b="0"/>
            <wp:docPr id="39" name="Изображение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39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119" w:rsidRPr="009E051E" w:rsidRDefault="00AA0119" w:rsidP="009E051E">
      <w:pPr>
        <w:spacing w:after="0" w:line="20" w:lineRule="atLeast"/>
        <w:ind w:firstLine="709"/>
        <w:jc w:val="both"/>
        <w:rPr>
          <w:rStyle w:val="a3"/>
          <w:rFonts w:ascii="Times New Roman" w:hAnsi="Times New Roman"/>
          <w:b w:val="0"/>
          <w:bCs w:val="0"/>
          <w:sz w:val="18"/>
          <w:szCs w:val="18"/>
        </w:rPr>
      </w:pPr>
      <w:r w:rsidRPr="009E051E">
        <w:rPr>
          <w:rStyle w:val="a3"/>
          <w:rFonts w:ascii="Times New Roman" w:hAnsi="Times New Roman"/>
          <w:b w:val="0"/>
          <w:bCs w:val="0"/>
          <w:sz w:val="18"/>
          <w:szCs w:val="18"/>
        </w:rPr>
        <w:t>Рассматривая турбулентные течения, необходимо учитывать, что любая скалярная величина претерпевает некоторые изменения(колеблется), которые могут приводить к значительным колебаниям значений искомых параметров, например, приводить к значениям температуры выше энергии активации. Поэтому при моделировании горения необходимо учитывать турбулентно-химическое взаимодействие.</w:t>
      </w:r>
    </w:p>
    <w:p w:rsidR="00AA0119" w:rsidRPr="009E051E" w:rsidRDefault="00AA0119" w:rsidP="009E051E">
      <w:pPr>
        <w:spacing w:after="0" w:line="20" w:lineRule="atLeast"/>
        <w:ind w:firstLine="709"/>
        <w:jc w:val="both"/>
        <w:rPr>
          <w:rStyle w:val="a3"/>
          <w:rFonts w:ascii="Times New Roman" w:hAnsi="Times New Roman"/>
          <w:b w:val="0"/>
          <w:bCs w:val="0"/>
          <w:sz w:val="18"/>
          <w:szCs w:val="18"/>
        </w:rPr>
      </w:pPr>
      <w:r w:rsidRPr="009E051E">
        <w:rPr>
          <w:rStyle w:val="a3"/>
          <w:rFonts w:ascii="Times New Roman" w:hAnsi="Times New Roman"/>
          <w:b w:val="0"/>
          <w:bCs w:val="0"/>
          <w:sz w:val="18"/>
          <w:szCs w:val="18"/>
        </w:rPr>
        <w:t xml:space="preserve">В данной модели это взаимодействие учитывается статистическим образом при помощи функции плотности вероятности. В пакете </w:t>
      </w:r>
      <w:r w:rsidRPr="009E051E">
        <w:rPr>
          <w:rFonts w:ascii="Times New Roman" w:hAnsi="Times New Roman" w:cs="Times New Roman"/>
          <w:sz w:val="18"/>
          <w:szCs w:val="18"/>
          <w:lang w:val="en-US"/>
        </w:rPr>
        <w:t>ANSYS</w:t>
      </w:r>
      <w:r w:rsidRPr="009E051E">
        <w:rPr>
          <w:rFonts w:ascii="Times New Roman" w:hAnsi="Times New Roman" w:cs="Times New Roman"/>
          <w:sz w:val="18"/>
          <w:szCs w:val="18"/>
        </w:rPr>
        <w:t xml:space="preserve"> </w:t>
      </w:r>
      <w:r w:rsidRPr="009E051E">
        <w:rPr>
          <w:rFonts w:ascii="Times New Roman" w:hAnsi="Times New Roman" w:cs="Times New Roman"/>
          <w:sz w:val="18"/>
          <w:szCs w:val="18"/>
          <w:lang w:val="en-US"/>
        </w:rPr>
        <w:t>Fluent</w:t>
      </w:r>
      <w:r w:rsidRPr="009E051E">
        <w:rPr>
          <w:rFonts w:ascii="Times New Roman" w:hAnsi="Times New Roman" w:cs="Times New Roman"/>
          <w:sz w:val="18"/>
          <w:szCs w:val="18"/>
        </w:rPr>
        <w:t xml:space="preserve"> </w:t>
      </w:r>
      <w:r w:rsidRPr="009E051E">
        <w:rPr>
          <w:rStyle w:val="a3"/>
          <w:rFonts w:ascii="Times New Roman" w:hAnsi="Times New Roman"/>
          <w:b w:val="0"/>
          <w:bCs w:val="0"/>
          <w:sz w:val="18"/>
          <w:szCs w:val="18"/>
        </w:rPr>
        <w:t xml:space="preserve">имеется две ее разновидности: </w:t>
      </w:r>
      <w:r w:rsidRPr="009E051E">
        <w:rPr>
          <w:rStyle w:val="a3"/>
          <w:rFonts w:ascii="Times New Roman" w:hAnsi="Times New Roman"/>
          <w:b w:val="0"/>
          <w:bCs w:val="0"/>
          <w:sz w:val="18"/>
          <w:szCs w:val="18"/>
        </w:rPr>
        <w:sym w:font="Symbol" w:char="F062"/>
      </w:r>
      <w:r w:rsidRPr="009E051E">
        <w:rPr>
          <w:rStyle w:val="a3"/>
          <w:rFonts w:ascii="Times New Roman" w:hAnsi="Times New Roman"/>
          <w:b w:val="0"/>
          <w:bCs w:val="0"/>
          <w:sz w:val="18"/>
          <w:szCs w:val="18"/>
        </w:rPr>
        <w:t xml:space="preserve">-функция и </w:t>
      </w:r>
      <w:r w:rsidRPr="009E051E">
        <w:rPr>
          <w:rStyle w:val="a3"/>
          <w:rFonts w:ascii="Times New Roman" w:hAnsi="Times New Roman"/>
          <w:b w:val="0"/>
          <w:bCs w:val="0"/>
          <w:sz w:val="18"/>
          <w:szCs w:val="18"/>
        </w:rPr>
        <w:lastRenderedPageBreak/>
        <w:t xml:space="preserve">двойная </w:t>
      </w:r>
      <w:r w:rsidRPr="009E051E">
        <w:rPr>
          <w:rStyle w:val="a3"/>
          <w:rFonts w:ascii="Times New Roman" w:hAnsi="Times New Roman"/>
          <w:b w:val="0"/>
          <w:bCs w:val="0"/>
          <w:sz w:val="18"/>
          <w:szCs w:val="18"/>
        </w:rPr>
        <w:sym w:font="Symbol" w:char="F064"/>
      </w:r>
      <w:r w:rsidRPr="009E051E">
        <w:rPr>
          <w:rStyle w:val="a3"/>
          <w:rFonts w:ascii="Times New Roman" w:hAnsi="Times New Roman"/>
          <w:b w:val="0"/>
          <w:bCs w:val="0"/>
          <w:sz w:val="18"/>
          <w:szCs w:val="18"/>
        </w:rPr>
        <w:t xml:space="preserve">-функция Дирака. Они зависят от значений своих матожидания и дисперсии. Наиболее часто при описании флуктуаций турбулентности встречается </w:t>
      </w:r>
      <w:r w:rsidRPr="009E051E">
        <w:rPr>
          <w:rStyle w:val="a3"/>
          <w:rFonts w:ascii="Times New Roman" w:hAnsi="Times New Roman"/>
          <w:b w:val="0"/>
          <w:bCs w:val="0"/>
          <w:sz w:val="18"/>
          <w:szCs w:val="18"/>
        </w:rPr>
        <w:sym w:font="Symbol" w:char="F062"/>
      </w:r>
      <w:r w:rsidRPr="009E051E">
        <w:rPr>
          <w:rStyle w:val="a3"/>
          <w:rFonts w:ascii="Times New Roman" w:hAnsi="Times New Roman"/>
          <w:b w:val="0"/>
          <w:bCs w:val="0"/>
          <w:sz w:val="18"/>
          <w:szCs w:val="18"/>
        </w:rPr>
        <w:t>-функция.</w:t>
      </w:r>
    </w:p>
    <w:p w:rsidR="00AA0119" w:rsidRPr="009E051E" w:rsidRDefault="00AA0119" w:rsidP="009E051E">
      <w:pPr>
        <w:spacing w:after="0" w:line="20" w:lineRule="atLeast"/>
        <w:ind w:firstLine="709"/>
        <w:jc w:val="both"/>
        <w:rPr>
          <w:rStyle w:val="a3"/>
          <w:rFonts w:ascii="Times New Roman" w:hAnsi="Times New Roman"/>
          <w:b w:val="0"/>
          <w:bCs w:val="0"/>
          <w:sz w:val="18"/>
          <w:szCs w:val="18"/>
        </w:rPr>
      </w:pPr>
      <w:r w:rsidRPr="009E051E">
        <w:rPr>
          <w:rStyle w:val="a3"/>
          <w:rFonts w:ascii="Times New Roman" w:hAnsi="Times New Roman"/>
          <w:b w:val="0"/>
          <w:bCs w:val="0"/>
          <w:sz w:val="18"/>
          <w:szCs w:val="18"/>
        </w:rPr>
        <w:t>Уравнение переноса дисперсии переменной смешения:</w:t>
      </w:r>
    </w:p>
    <w:p w:rsidR="00AA0119" w:rsidRPr="009E051E" w:rsidRDefault="00A20E44" w:rsidP="009E051E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9E051E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3562350" cy="304800"/>
            <wp:effectExtent l="0" t="0" r="0" b="0"/>
            <wp:docPr id="40" name="Изображение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40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119" w:rsidRPr="009E051E" w:rsidRDefault="00AA0119" w:rsidP="009E051E">
      <w:pPr>
        <w:spacing w:after="0" w:line="20" w:lineRule="atLeast"/>
        <w:ind w:firstLine="709"/>
        <w:jc w:val="both"/>
        <w:rPr>
          <w:rStyle w:val="a3"/>
          <w:rFonts w:ascii="Times New Roman" w:hAnsi="Times New Roman"/>
          <w:b w:val="0"/>
          <w:bCs w:val="0"/>
          <w:sz w:val="18"/>
          <w:szCs w:val="18"/>
        </w:rPr>
      </w:pPr>
      <w:r w:rsidRPr="009E051E">
        <w:rPr>
          <w:rStyle w:val="a3"/>
          <w:rFonts w:ascii="Times New Roman" w:hAnsi="Times New Roman"/>
          <w:b w:val="0"/>
          <w:bCs w:val="0"/>
          <w:sz w:val="18"/>
          <w:szCs w:val="18"/>
        </w:rPr>
        <w:t xml:space="preserve">где </w:t>
      </w:r>
      <w:r w:rsidR="00A20E44" w:rsidRPr="009E051E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476250" cy="171450"/>
            <wp:effectExtent l="0" t="0" r="0" b="0"/>
            <wp:docPr id="41" name="Изображение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41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051E">
        <w:rPr>
          <w:rFonts w:ascii="Times New Roman" w:hAnsi="Times New Roman" w:cs="Times New Roman"/>
          <w:sz w:val="18"/>
          <w:szCs w:val="18"/>
        </w:rPr>
        <w:t xml:space="preserve"> , </w:t>
      </w:r>
      <w:r w:rsidR="00A20E44" w:rsidRPr="009E051E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419100" cy="152400"/>
            <wp:effectExtent l="0" t="0" r="0" b="0"/>
            <wp:docPr id="42" name="Изображение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42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051E">
        <w:rPr>
          <w:rFonts w:ascii="Times New Roman" w:hAnsi="Times New Roman" w:cs="Times New Roman"/>
          <w:sz w:val="18"/>
          <w:szCs w:val="18"/>
        </w:rPr>
        <w:t>.</w:t>
      </w:r>
    </w:p>
    <w:p w:rsidR="00AA0119" w:rsidRPr="009E051E" w:rsidRDefault="00AA0119" w:rsidP="009E051E">
      <w:pPr>
        <w:spacing w:after="0" w:line="20" w:lineRule="atLeast"/>
        <w:ind w:firstLine="709"/>
        <w:jc w:val="both"/>
        <w:rPr>
          <w:rStyle w:val="a3"/>
          <w:rFonts w:ascii="Times New Roman" w:hAnsi="Times New Roman"/>
          <w:b w:val="0"/>
          <w:bCs w:val="0"/>
          <w:sz w:val="18"/>
          <w:szCs w:val="18"/>
        </w:rPr>
      </w:pPr>
      <w:r w:rsidRPr="009E051E">
        <w:rPr>
          <w:rStyle w:val="a3"/>
          <w:rFonts w:ascii="Times New Roman" w:hAnsi="Times New Roman"/>
          <w:b w:val="0"/>
          <w:bCs w:val="0"/>
          <w:sz w:val="18"/>
          <w:szCs w:val="18"/>
        </w:rPr>
        <w:t>Таким образом, система уравнений, решаемых в рассматриваемой модели горения, состоит из двух уравнений (1.8) - (1.9).</w:t>
      </w:r>
    </w:p>
    <w:p w:rsidR="00AA0119" w:rsidRPr="009E051E" w:rsidRDefault="00AA0119" w:rsidP="009E051E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9E051E">
        <w:rPr>
          <w:rStyle w:val="a3"/>
          <w:rFonts w:ascii="Times New Roman" w:hAnsi="Times New Roman"/>
          <w:b w:val="0"/>
          <w:bCs w:val="0"/>
          <w:sz w:val="18"/>
          <w:szCs w:val="18"/>
        </w:rPr>
        <w:t xml:space="preserve">В качестве искомого решения используется осредненное значение параметра, которое получается следующим образом: из термодинамического расчета (без кинетики) определяются зависимости параметров равновесия (массовые доли и концентрации компонент, температура и др.) от параметра смешения, затем используя известную (заданную) функцию плотности вероятности </w:t>
      </w:r>
      <w:r w:rsidR="00A20E44" w:rsidRPr="009E051E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809625" cy="171450"/>
            <wp:effectExtent l="0" t="0" r="0" b="0"/>
            <wp:docPr id="43" name="Изображение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43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051E">
        <w:rPr>
          <w:rFonts w:ascii="Times New Roman" w:hAnsi="Times New Roman" w:cs="Times New Roman"/>
          <w:sz w:val="18"/>
          <w:szCs w:val="18"/>
        </w:rPr>
        <w:t>, интегрируем и получаем осредненную величину параметра:</w:t>
      </w:r>
    </w:p>
    <w:p w:rsidR="00AA0119" w:rsidRPr="009E051E" w:rsidRDefault="00A20E44" w:rsidP="009E051E">
      <w:pPr>
        <w:spacing w:after="0" w:line="20" w:lineRule="atLeast"/>
        <w:ind w:firstLine="709"/>
        <w:jc w:val="center"/>
        <w:rPr>
          <w:rStyle w:val="a3"/>
          <w:rFonts w:ascii="Times New Roman" w:hAnsi="Times New Roman"/>
          <w:sz w:val="18"/>
          <w:szCs w:val="18"/>
        </w:rPr>
      </w:pPr>
      <w:r w:rsidRPr="009E051E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000125" cy="428625"/>
            <wp:effectExtent l="0" t="0" r="0" b="0"/>
            <wp:docPr id="44" name="Изображение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44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119" w:rsidRPr="009E051E" w:rsidRDefault="00AA0119" w:rsidP="009E051E">
      <w:pPr>
        <w:tabs>
          <w:tab w:val="left" w:pos="709"/>
        </w:tabs>
        <w:spacing w:after="0" w:line="20" w:lineRule="atLeast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9E051E">
        <w:rPr>
          <w:rStyle w:val="a3"/>
          <w:rFonts w:ascii="Times New Roman" w:hAnsi="Times New Roman"/>
          <w:b w:val="0"/>
          <w:bCs w:val="0"/>
          <w:sz w:val="18"/>
          <w:szCs w:val="18"/>
        </w:rPr>
        <w:t>Еще одной особенностью данной модели является то, что значения осредненных параметров для определенной химической модели (например, равновесной) и функции плотности вероятности можно занести в справочную таблицу и при необходимости обращаться к ней в процессе счета, что позволяет сократить счетное время решения задачи. В программном комплексе имеется возможность посмотреть данные этой таблицы.</w:t>
      </w:r>
      <w:r w:rsidRPr="009E051E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</w:p>
    <w:p w:rsidR="00AA0119" w:rsidRPr="009E051E" w:rsidRDefault="00AA0119" w:rsidP="009E051E">
      <w:pPr>
        <w:tabs>
          <w:tab w:val="left" w:pos="709"/>
        </w:tabs>
        <w:spacing w:after="0" w:line="20" w:lineRule="atLeast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9E051E">
        <w:rPr>
          <w:rStyle w:val="a3"/>
          <w:rFonts w:ascii="Times New Roman" w:hAnsi="Times New Roman"/>
          <w:b w:val="0"/>
          <w:bCs w:val="0"/>
          <w:sz w:val="18"/>
          <w:szCs w:val="18"/>
        </w:rPr>
        <w:t>Таким образом, математическая модель</w:t>
      </w:r>
      <w:r w:rsidRPr="009E051E">
        <w:rPr>
          <w:rFonts w:ascii="Times New Roman" w:hAnsi="Times New Roman" w:cs="Times New Roman"/>
          <w:sz w:val="18"/>
          <w:szCs w:val="18"/>
        </w:rPr>
        <w:t xml:space="preserve"> турбулентного течения химически реагирующей многокомпонентной смеси</w:t>
      </w:r>
      <w:r w:rsidRPr="009E051E">
        <w:rPr>
          <w:rStyle w:val="a3"/>
          <w:rFonts w:ascii="Times New Roman" w:hAnsi="Times New Roman"/>
          <w:b w:val="0"/>
          <w:bCs w:val="0"/>
          <w:sz w:val="18"/>
          <w:szCs w:val="18"/>
        </w:rPr>
        <w:t xml:space="preserve">, описывающая процессы в </w:t>
      </w:r>
      <w:r w:rsidRPr="009E051E">
        <w:rPr>
          <w:rFonts w:ascii="Times New Roman" w:hAnsi="Times New Roman" w:cs="Times New Roman"/>
          <w:sz w:val="18"/>
          <w:szCs w:val="18"/>
        </w:rPr>
        <w:t xml:space="preserve">камере сгорания модельной установки, имитирующей проточный тракт ГПВРД, состоит из уравнений (1.1) - (1.2), (1.4) - (1.6), </w:t>
      </w:r>
      <w:r w:rsidRPr="009E051E">
        <w:rPr>
          <w:rStyle w:val="a3"/>
          <w:rFonts w:ascii="Times New Roman" w:hAnsi="Times New Roman"/>
          <w:b w:val="0"/>
          <w:bCs w:val="0"/>
          <w:sz w:val="18"/>
          <w:szCs w:val="18"/>
        </w:rPr>
        <w:t>(1.8) - (1.9). Данная система дополняется уравнениями состояния совершенного газа для каждого компонента топливно-воздушной смеси.</w:t>
      </w:r>
      <w:r w:rsidRPr="009E051E">
        <w:rPr>
          <w:rFonts w:ascii="Times New Roman" w:hAnsi="Times New Roman" w:cs="Times New Roman"/>
          <w:sz w:val="18"/>
          <w:szCs w:val="18"/>
        </w:rPr>
        <w:t xml:space="preserve"> </w:t>
      </w:r>
    </w:p>
    <w:p w:rsidR="00AA0119" w:rsidRPr="009E051E" w:rsidRDefault="00AA0119" w:rsidP="009E051E">
      <w:pPr>
        <w:tabs>
          <w:tab w:val="left" w:pos="709"/>
        </w:tabs>
        <w:spacing w:after="0" w:line="20" w:lineRule="atLeast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9E051E">
        <w:rPr>
          <w:rFonts w:ascii="Times New Roman" w:hAnsi="Times New Roman" w:cs="Times New Roman"/>
          <w:sz w:val="18"/>
          <w:szCs w:val="18"/>
        </w:rPr>
        <w:t>В качестве геометрической модели расчетной области рассматривается камера сгорания модельной установки, имитирующей проточный тракт ГПВРД. В центральном сечении камеры сгорания расположены пилоны с отверстиями для подачи топлива. Продукты сгорания вытекают в специальный раструб.</w:t>
      </w:r>
    </w:p>
    <w:p w:rsidR="00AA0119" w:rsidRPr="009E051E" w:rsidRDefault="00AA0119" w:rsidP="00AA17A8">
      <w:pPr>
        <w:tabs>
          <w:tab w:val="left" w:pos="9356"/>
        </w:tabs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9E051E">
        <w:rPr>
          <w:rFonts w:ascii="Times New Roman" w:hAnsi="Times New Roman" w:cs="Times New Roman"/>
          <w:sz w:val="18"/>
          <w:szCs w:val="18"/>
        </w:rPr>
        <w:t xml:space="preserve">Геометрия </w:t>
      </w:r>
      <w:r w:rsidRPr="009E051E">
        <w:rPr>
          <w:rFonts w:ascii="Times New Roman" w:hAnsi="Times New Roman" w:cs="Times New Roman"/>
          <w:color w:val="000000"/>
          <w:sz w:val="18"/>
          <w:szCs w:val="18"/>
        </w:rPr>
        <w:t>расчетной области представляет собой тракт прямоугольного переменного поперечного сечения протяженностью 1225 мм с тремя пилонами в центре канала и последующего раструба цилиндрической формы протяженностью 600</w:t>
      </w:r>
      <w:r w:rsidR="00AA17A8">
        <w:rPr>
          <w:rFonts w:ascii="Times New Roman" w:hAnsi="Times New Roman" w:cs="Times New Roman"/>
          <w:color w:val="000000"/>
          <w:sz w:val="18"/>
          <w:szCs w:val="18"/>
        </w:rPr>
        <w:t xml:space="preserve"> мм и диаметром 240 мм (рис.1).</w:t>
      </w:r>
    </w:p>
    <w:p w:rsidR="00AA0119" w:rsidRPr="009E051E" w:rsidRDefault="00A20E44" w:rsidP="009E051E">
      <w:pPr>
        <w:spacing w:after="0" w:line="20" w:lineRule="atLeast"/>
        <w:jc w:val="center"/>
        <w:rPr>
          <w:rFonts w:ascii="Times New Roman" w:hAnsi="Times New Roman" w:cs="Times New Roman"/>
          <w:color w:val="262626"/>
          <w:sz w:val="18"/>
          <w:szCs w:val="18"/>
        </w:rPr>
      </w:pPr>
      <w:r w:rsidRPr="009E051E">
        <w:rPr>
          <w:rFonts w:ascii="Times New Roman" w:hAnsi="Times New Roman" w:cs="Times New Roman"/>
          <w:b/>
          <w:bCs/>
          <w:noProof/>
          <w:color w:val="262626"/>
          <w:sz w:val="18"/>
          <w:szCs w:val="18"/>
          <w:lang w:eastAsia="ru-RU"/>
        </w:rPr>
        <w:drawing>
          <wp:inline distT="0" distB="0" distL="0" distR="0">
            <wp:extent cx="4895850" cy="2619375"/>
            <wp:effectExtent l="0" t="0" r="0" b="0"/>
            <wp:docPr id="45" name="Рисунок 13" descr="C:\Users\Павел\Desktop\записка\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C:\Users\Павел\Desktop\записка\Снимок.PNG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119" w:rsidRPr="009E051E" w:rsidRDefault="00AA0119" w:rsidP="009E051E">
      <w:pPr>
        <w:spacing w:after="0" w:line="20" w:lineRule="atLeast"/>
        <w:ind w:firstLine="709"/>
        <w:jc w:val="center"/>
        <w:rPr>
          <w:rFonts w:ascii="Times New Roman" w:hAnsi="Times New Roman" w:cs="Times New Roman"/>
          <w:sz w:val="18"/>
          <w:szCs w:val="18"/>
        </w:rPr>
      </w:pPr>
      <w:r w:rsidRPr="009E051E">
        <w:rPr>
          <w:rFonts w:ascii="Times New Roman" w:hAnsi="Times New Roman" w:cs="Times New Roman"/>
          <w:sz w:val="18"/>
          <w:szCs w:val="18"/>
        </w:rPr>
        <w:t>Рисунок 1 – Общий вид расчетной геометрии</w:t>
      </w:r>
    </w:p>
    <w:p w:rsidR="00AA0119" w:rsidRPr="009E051E" w:rsidRDefault="00AA0119" w:rsidP="009E051E">
      <w:pPr>
        <w:spacing w:after="0" w:line="20" w:lineRule="atLeast"/>
        <w:ind w:firstLine="709"/>
        <w:jc w:val="center"/>
        <w:rPr>
          <w:rFonts w:ascii="Times New Roman" w:hAnsi="Times New Roman" w:cs="Times New Roman"/>
          <w:sz w:val="18"/>
          <w:szCs w:val="18"/>
        </w:rPr>
      </w:pPr>
    </w:p>
    <w:p w:rsidR="00AA0119" w:rsidRPr="009E051E" w:rsidRDefault="00AA0119" w:rsidP="009E051E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9E051E">
        <w:rPr>
          <w:rFonts w:ascii="Times New Roman" w:hAnsi="Times New Roman" w:cs="Times New Roman"/>
          <w:sz w:val="18"/>
          <w:szCs w:val="18"/>
        </w:rPr>
        <w:lastRenderedPageBreak/>
        <w:t>Пилоны представляют собой столбы высотой 40 мм ромбовидного сечения с диагоналями 4 мм и 2 мм. На стыке граней каждого пилона расположены по 5 отверстий диаметром 0.8 мм с шагом 9 мм. Эти отверстия имитируют форсунки для подачи топлива (рис. 2).</w:t>
      </w:r>
    </w:p>
    <w:p w:rsidR="00AA0119" w:rsidRPr="009E051E" w:rsidRDefault="00A20E44" w:rsidP="009E051E">
      <w:pPr>
        <w:spacing w:after="0" w:line="20" w:lineRule="atLeast"/>
        <w:jc w:val="both"/>
        <w:rPr>
          <w:rFonts w:ascii="Times New Roman" w:hAnsi="Times New Roman" w:cs="Times New Roman"/>
          <w:kern w:val="32"/>
          <w:sz w:val="18"/>
          <w:szCs w:val="18"/>
        </w:rPr>
      </w:pPr>
      <w:r w:rsidRPr="009E051E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2981325" cy="2971800"/>
            <wp:effectExtent l="0" t="0" r="0" b="0"/>
            <wp:docPr id="46" name="Рисунок 12" descr="https://pp.userapi.com/c824502/v824502751/14e860/ZHDVdlzQtW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https://pp.userapi.com/c824502/v824502751/14e860/ZHDVdlzQtWQ.jpg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051E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495425" cy="2857500"/>
            <wp:effectExtent l="0" t="0" r="0" b="0"/>
            <wp:docPr id="47" name="Рисунок 11" descr="https://pp.userapi.com/c824502/v824502751/14e8e6/64-BbYhEbz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https://pp.userapi.com/c824502/v824502751/14e8e6/64-BbYhEbzo.jpg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970" b="29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119" w:rsidRPr="009E051E" w:rsidRDefault="00AA0119" w:rsidP="00AA17A8">
      <w:pPr>
        <w:spacing w:after="0" w:line="20" w:lineRule="atLeast"/>
        <w:ind w:firstLine="709"/>
        <w:jc w:val="center"/>
        <w:rPr>
          <w:rFonts w:ascii="Times New Roman" w:hAnsi="Times New Roman" w:cs="Times New Roman"/>
          <w:sz w:val="18"/>
          <w:szCs w:val="18"/>
        </w:rPr>
      </w:pPr>
      <w:r w:rsidRPr="009E051E">
        <w:rPr>
          <w:rFonts w:ascii="Times New Roman" w:hAnsi="Times New Roman" w:cs="Times New Roman"/>
          <w:color w:val="262626"/>
          <w:sz w:val="18"/>
          <w:szCs w:val="18"/>
        </w:rPr>
        <w:t xml:space="preserve">Рисунок 2 – Общий вид геометрии </w:t>
      </w:r>
      <w:r w:rsidRPr="009E051E">
        <w:rPr>
          <w:rFonts w:ascii="Times New Roman" w:hAnsi="Times New Roman" w:cs="Times New Roman"/>
          <w:sz w:val="18"/>
          <w:szCs w:val="18"/>
        </w:rPr>
        <w:t>пилонов (</w:t>
      </w:r>
      <w:r w:rsidR="00AA17A8">
        <w:rPr>
          <w:rFonts w:ascii="Times New Roman" w:hAnsi="Times New Roman" w:cs="Times New Roman"/>
          <w:sz w:val="18"/>
          <w:szCs w:val="18"/>
        </w:rPr>
        <w:t>слева) и вид в сечении (справа)</w:t>
      </w:r>
    </w:p>
    <w:p w:rsidR="00AA0119" w:rsidRPr="009E051E" w:rsidRDefault="00AA0119" w:rsidP="009E051E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9E051E">
        <w:rPr>
          <w:rFonts w:ascii="Times New Roman" w:hAnsi="Times New Roman" w:cs="Times New Roman"/>
          <w:sz w:val="18"/>
          <w:szCs w:val="18"/>
        </w:rPr>
        <w:t>В расчетах использовалась тетраэдральная сетка с полным числом элементов, равным 12500000.</w:t>
      </w:r>
    </w:p>
    <w:p w:rsidR="00AA0119" w:rsidRPr="009E051E" w:rsidRDefault="00AA0119" w:rsidP="009E051E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9E051E">
        <w:rPr>
          <w:rFonts w:ascii="Times New Roman" w:hAnsi="Times New Roman" w:cs="Times New Roman"/>
          <w:sz w:val="18"/>
          <w:szCs w:val="18"/>
        </w:rPr>
        <w:t xml:space="preserve">Граничными условиями, необходимыми нам для решения поставленной задачи и задаваемыми нами в </w:t>
      </w:r>
      <w:r w:rsidRPr="009E051E">
        <w:rPr>
          <w:rFonts w:ascii="Times New Roman" w:hAnsi="Times New Roman" w:cs="Times New Roman"/>
          <w:sz w:val="18"/>
          <w:szCs w:val="18"/>
          <w:lang w:val="en-US"/>
        </w:rPr>
        <w:t>Ansys</w:t>
      </w:r>
      <w:r w:rsidRPr="009E051E">
        <w:rPr>
          <w:rFonts w:ascii="Times New Roman" w:hAnsi="Times New Roman" w:cs="Times New Roman"/>
          <w:sz w:val="18"/>
          <w:szCs w:val="18"/>
        </w:rPr>
        <w:t xml:space="preserve"> </w:t>
      </w:r>
      <w:r w:rsidRPr="009E051E">
        <w:rPr>
          <w:rFonts w:ascii="Times New Roman" w:hAnsi="Times New Roman" w:cs="Times New Roman"/>
          <w:sz w:val="18"/>
          <w:szCs w:val="18"/>
          <w:lang w:val="en-US"/>
        </w:rPr>
        <w:t>Fluent</w:t>
      </w:r>
      <w:r w:rsidRPr="009E051E">
        <w:rPr>
          <w:rFonts w:ascii="Times New Roman" w:hAnsi="Times New Roman" w:cs="Times New Roman"/>
          <w:sz w:val="18"/>
          <w:szCs w:val="18"/>
        </w:rPr>
        <w:t>, будут (рис.3):</w:t>
      </w:r>
    </w:p>
    <w:p w:rsidR="00AA0119" w:rsidRPr="009E051E" w:rsidRDefault="00AA0119" w:rsidP="009E051E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NewRomanPSMT" w:hAnsi="Times New Roman" w:cs="Times New Roman"/>
          <w:sz w:val="18"/>
          <w:szCs w:val="18"/>
        </w:rPr>
      </w:pPr>
      <w:r w:rsidRPr="009E051E">
        <w:rPr>
          <w:rFonts w:ascii="Times New Roman" w:eastAsia="TimesNewRomanPSMT" w:hAnsi="Times New Roman" w:cs="Times New Roman"/>
          <w:sz w:val="18"/>
          <w:szCs w:val="18"/>
        </w:rPr>
        <w:t xml:space="preserve">1). Для задания расхода керосина из форсунок - Mass </w:t>
      </w:r>
      <w:r w:rsidRPr="009E051E">
        <w:rPr>
          <w:rFonts w:ascii="Times New Roman" w:eastAsia="TimesNewRomanPSMT" w:hAnsi="Times New Roman" w:cs="Times New Roman"/>
          <w:sz w:val="18"/>
          <w:szCs w:val="18"/>
          <w:lang w:val="en-US"/>
        </w:rPr>
        <w:t>flowinlet</w:t>
      </w:r>
      <w:r w:rsidRPr="009E051E">
        <w:rPr>
          <w:rFonts w:ascii="Times New Roman" w:eastAsia="TimesNewRomanPSMT" w:hAnsi="Times New Roman" w:cs="Times New Roman"/>
          <w:sz w:val="18"/>
          <w:szCs w:val="18"/>
        </w:rPr>
        <w:t xml:space="preserve">. Расход 25 г/сек при температуре 300 К (граница </w:t>
      </w:r>
      <w:r w:rsidRPr="009E051E">
        <w:rPr>
          <w:rFonts w:ascii="Times New Roman" w:eastAsia="TimesNewRomanPSMT" w:hAnsi="Times New Roman" w:cs="Times New Roman"/>
          <w:sz w:val="18"/>
          <w:szCs w:val="18"/>
          <w:lang w:val="en-US"/>
        </w:rPr>
        <w:t>F</w:t>
      </w:r>
      <w:r w:rsidRPr="009E051E">
        <w:rPr>
          <w:rFonts w:ascii="Times New Roman" w:eastAsia="TimesNewRomanPSMT" w:hAnsi="Times New Roman" w:cs="Times New Roman"/>
          <w:sz w:val="18"/>
          <w:szCs w:val="18"/>
        </w:rPr>
        <w:t>).</w:t>
      </w:r>
    </w:p>
    <w:p w:rsidR="00AA0119" w:rsidRPr="009E051E" w:rsidRDefault="00AA0119" w:rsidP="009E051E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NewRomanPSMT" w:hAnsi="Times New Roman" w:cs="Times New Roman"/>
          <w:sz w:val="18"/>
          <w:szCs w:val="18"/>
        </w:rPr>
      </w:pPr>
      <w:r w:rsidRPr="009E051E">
        <w:rPr>
          <w:rFonts w:ascii="Times New Roman" w:eastAsia="TimesNewRomanPSMT" w:hAnsi="Times New Roman" w:cs="Times New Roman"/>
          <w:sz w:val="18"/>
          <w:szCs w:val="18"/>
        </w:rPr>
        <w:t xml:space="preserve">2). Для задания расхода подогретого воздуха на входной границе - Mass </w:t>
      </w:r>
      <w:r w:rsidRPr="009E051E">
        <w:rPr>
          <w:rFonts w:ascii="Times New Roman" w:eastAsia="TimesNewRomanPSMT" w:hAnsi="Times New Roman" w:cs="Times New Roman"/>
          <w:sz w:val="18"/>
          <w:szCs w:val="18"/>
          <w:lang w:val="en-US"/>
        </w:rPr>
        <w:t>flow</w:t>
      </w:r>
      <w:r w:rsidRPr="009E051E">
        <w:rPr>
          <w:rFonts w:ascii="Times New Roman" w:eastAsia="TimesNewRomanPSMT" w:hAnsi="Times New Roman" w:cs="Times New Roman"/>
          <w:sz w:val="18"/>
          <w:szCs w:val="18"/>
        </w:rPr>
        <w:t xml:space="preserve"> </w:t>
      </w:r>
      <w:r w:rsidRPr="009E051E">
        <w:rPr>
          <w:rFonts w:ascii="Times New Roman" w:eastAsia="TimesNewRomanPSMT" w:hAnsi="Times New Roman" w:cs="Times New Roman"/>
          <w:sz w:val="18"/>
          <w:szCs w:val="18"/>
          <w:lang w:val="en-US"/>
        </w:rPr>
        <w:t>inlet</w:t>
      </w:r>
      <w:r w:rsidRPr="009E051E">
        <w:rPr>
          <w:rFonts w:ascii="Times New Roman" w:eastAsia="TimesNewRomanPSMT" w:hAnsi="Times New Roman" w:cs="Times New Roman"/>
          <w:sz w:val="18"/>
          <w:szCs w:val="18"/>
        </w:rPr>
        <w:t xml:space="preserve">. Расход 380 г/сек при температуре 700 К (граница </w:t>
      </w:r>
      <w:r w:rsidRPr="009E051E">
        <w:rPr>
          <w:rFonts w:ascii="Times New Roman" w:eastAsia="TimesNewRomanPSMT" w:hAnsi="Times New Roman" w:cs="Times New Roman"/>
          <w:sz w:val="18"/>
          <w:szCs w:val="18"/>
          <w:lang w:val="en-US"/>
        </w:rPr>
        <w:t>B</w:t>
      </w:r>
      <w:r w:rsidRPr="009E051E">
        <w:rPr>
          <w:rFonts w:ascii="Times New Roman" w:eastAsia="TimesNewRomanPSMT" w:hAnsi="Times New Roman" w:cs="Times New Roman"/>
          <w:sz w:val="18"/>
          <w:szCs w:val="18"/>
        </w:rPr>
        <w:t>).</w:t>
      </w:r>
    </w:p>
    <w:p w:rsidR="00AA0119" w:rsidRPr="009E051E" w:rsidRDefault="00AA0119" w:rsidP="009E051E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NewRomanPSMT" w:hAnsi="Times New Roman" w:cs="Times New Roman"/>
          <w:sz w:val="18"/>
          <w:szCs w:val="18"/>
        </w:rPr>
      </w:pPr>
      <w:r w:rsidRPr="009E051E">
        <w:rPr>
          <w:rFonts w:ascii="Times New Roman" w:eastAsia="TimesNewRomanPSMT" w:hAnsi="Times New Roman" w:cs="Times New Roman"/>
          <w:sz w:val="18"/>
          <w:szCs w:val="18"/>
        </w:rPr>
        <w:t>3).</w:t>
      </w:r>
      <w:r w:rsidRPr="009E051E">
        <w:rPr>
          <w:rFonts w:ascii="Times New Roman" w:hAnsi="Times New Roman" w:cs="Times New Roman"/>
          <w:sz w:val="18"/>
          <w:szCs w:val="18"/>
        </w:rPr>
        <w:t xml:space="preserve"> Pressure outlet – </w:t>
      </w:r>
      <w:r w:rsidRPr="009E051E">
        <w:rPr>
          <w:rFonts w:ascii="Times New Roman" w:eastAsia="TimesNewRomanPSMT" w:hAnsi="Times New Roman" w:cs="Times New Roman"/>
          <w:sz w:val="18"/>
          <w:szCs w:val="18"/>
        </w:rPr>
        <w:t xml:space="preserve">статическое давление на выходе (граница </w:t>
      </w:r>
      <w:r w:rsidRPr="009E051E">
        <w:rPr>
          <w:rFonts w:ascii="Times New Roman" w:eastAsia="TimesNewRomanPSMT" w:hAnsi="Times New Roman" w:cs="Times New Roman"/>
          <w:sz w:val="18"/>
          <w:szCs w:val="18"/>
          <w:lang w:val="en-US"/>
        </w:rPr>
        <w:t>C</w:t>
      </w:r>
      <w:r w:rsidRPr="009E051E">
        <w:rPr>
          <w:rFonts w:ascii="Times New Roman" w:eastAsia="TimesNewRomanPSMT" w:hAnsi="Times New Roman" w:cs="Times New Roman"/>
          <w:sz w:val="18"/>
          <w:szCs w:val="18"/>
        </w:rPr>
        <w:t>).</w:t>
      </w:r>
    </w:p>
    <w:p w:rsidR="00AA0119" w:rsidRPr="009E051E" w:rsidRDefault="00AA0119" w:rsidP="009E051E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NewRomanPSMT" w:hAnsi="Times New Roman" w:cs="Times New Roman"/>
          <w:sz w:val="18"/>
          <w:szCs w:val="18"/>
        </w:rPr>
      </w:pPr>
      <w:r w:rsidRPr="009E051E">
        <w:rPr>
          <w:rFonts w:ascii="Times New Roman" w:hAnsi="Times New Roman" w:cs="Times New Roman"/>
          <w:sz w:val="18"/>
          <w:szCs w:val="18"/>
        </w:rPr>
        <w:t xml:space="preserve">4). Wall – </w:t>
      </w:r>
      <w:r w:rsidRPr="009E051E">
        <w:rPr>
          <w:rFonts w:ascii="Times New Roman" w:eastAsia="TimesNewRomanPSMT" w:hAnsi="Times New Roman" w:cs="Times New Roman"/>
          <w:sz w:val="18"/>
          <w:szCs w:val="18"/>
        </w:rPr>
        <w:t xml:space="preserve">стенка тракта, пилоны, раструб (границы </w:t>
      </w:r>
      <w:r w:rsidRPr="009E051E">
        <w:rPr>
          <w:rFonts w:ascii="Times New Roman" w:eastAsia="TimesNewRomanPSMT" w:hAnsi="Times New Roman" w:cs="Times New Roman"/>
          <w:sz w:val="18"/>
          <w:szCs w:val="18"/>
          <w:lang w:val="en-US"/>
        </w:rPr>
        <w:t>D</w:t>
      </w:r>
      <w:r w:rsidRPr="009E051E">
        <w:rPr>
          <w:rFonts w:ascii="Times New Roman" w:eastAsia="TimesNewRomanPSMT" w:hAnsi="Times New Roman" w:cs="Times New Roman"/>
          <w:sz w:val="18"/>
          <w:szCs w:val="18"/>
        </w:rPr>
        <w:t xml:space="preserve">, </w:t>
      </w:r>
      <w:r w:rsidRPr="009E051E">
        <w:rPr>
          <w:rFonts w:ascii="Times New Roman" w:eastAsia="TimesNewRomanPSMT" w:hAnsi="Times New Roman" w:cs="Times New Roman"/>
          <w:sz w:val="18"/>
          <w:szCs w:val="18"/>
          <w:lang w:val="en-US"/>
        </w:rPr>
        <w:t>E</w:t>
      </w:r>
      <w:r w:rsidRPr="009E051E">
        <w:rPr>
          <w:rFonts w:ascii="Times New Roman" w:eastAsia="TimesNewRomanPSMT" w:hAnsi="Times New Roman" w:cs="Times New Roman"/>
          <w:sz w:val="18"/>
          <w:szCs w:val="18"/>
        </w:rPr>
        <w:t xml:space="preserve">, </w:t>
      </w:r>
      <w:r w:rsidRPr="009E051E">
        <w:rPr>
          <w:rFonts w:ascii="Times New Roman" w:eastAsia="TimesNewRomanPSMT" w:hAnsi="Times New Roman" w:cs="Times New Roman"/>
          <w:sz w:val="18"/>
          <w:szCs w:val="18"/>
          <w:lang w:val="en-US"/>
        </w:rPr>
        <w:t>A</w:t>
      </w:r>
      <w:r w:rsidRPr="009E051E">
        <w:rPr>
          <w:rFonts w:ascii="Times New Roman" w:eastAsia="TimesNewRomanPSMT" w:hAnsi="Times New Roman" w:cs="Times New Roman"/>
          <w:sz w:val="18"/>
          <w:szCs w:val="18"/>
        </w:rPr>
        <w:t>).</w:t>
      </w:r>
    </w:p>
    <w:p w:rsidR="00AA0119" w:rsidRPr="009E051E" w:rsidRDefault="00A20E44" w:rsidP="009E051E">
      <w:pPr>
        <w:autoSpaceDE w:val="0"/>
        <w:autoSpaceDN w:val="0"/>
        <w:adjustRightInd w:val="0"/>
        <w:spacing w:after="0" w:line="20" w:lineRule="atLeast"/>
        <w:ind w:right="-143" w:firstLine="567"/>
        <w:jc w:val="both"/>
        <w:rPr>
          <w:rFonts w:ascii="Times New Roman" w:eastAsia="TimesNewRomanPSMT" w:hAnsi="Times New Roman" w:cs="Times New Roman"/>
          <w:sz w:val="18"/>
          <w:szCs w:val="18"/>
        </w:rPr>
      </w:pPr>
      <w:r w:rsidRPr="009E051E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4152900" cy="2428875"/>
            <wp:effectExtent l="0" t="0" r="0" b="0"/>
            <wp:docPr id="48" name="Рисунок 3" descr="https://pp.userapi.com/c824502/v824502540/155bcd/TP5iZn0RE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s://pp.userapi.com/c824502/v824502540/155bcd/TP5iZn0REyY.jpg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119" w:rsidRPr="009E051E" w:rsidRDefault="00AA0119" w:rsidP="009E051E">
      <w:pPr>
        <w:spacing w:after="0" w:line="20" w:lineRule="atLeast"/>
        <w:jc w:val="center"/>
        <w:rPr>
          <w:rFonts w:ascii="Times New Roman" w:hAnsi="Times New Roman" w:cs="Times New Roman"/>
          <w:sz w:val="18"/>
          <w:szCs w:val="18"/>
        </w:rPr>
      </w:pPr>
      <w:r w:rsidRPr="009E051E">
        <w:rPr>
          <w:rFonts w:ascii="Times New Roman" w:hAnsi="Times New Roman" w:cs="Times New Roman"/>
          <w:sz w:val="18"/>
          <w:szCs w:val="18"/>
        </w:rPr>
        <w:t>Рисунок 3 – Зоны для задания граничных условий.</w:t>
      </w:r>
    </w:p>
    <w:p w:rsidR="00AA0119" w:rsidRPr="009E051E" w:rsidRDefault="00AA0119" w:rsidP="009E051E">
      <w:pPr>
        <w:spacing w:after="0" w:line="20" w:lineRule="atLeast"/>
        <w:jc w:val="center"/>
        <w:rPr>
          <w:rFonts w:ascii="Times New Roman" w:hAnsi="Times New Roman" w:cs="Times New Roman"/>
          <w:sz w:val="18"/>
          <w:szCs w:val="18"/>
        </w:rPr>
      </w:pPr>
    </w:p>
    <w:p w:rsidR="00AA0119" w:rsidRPr="009E051E" w:rsidRDefault="00AA0119" w:rsidP="009E051E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9E051E">
        <w:rPr>
          <w:rFonts w:ascii="Times New Roman" w:hAnsi="Times New Roman" w:cs="Times New Roman"/>
          <w:sz w:val="18"/>
          <w:szCs w:val="18"/>
        </w:rPr>
        <w:t xml:space="preserve">На рисунках 4-5 представлены результаты расчета для режима горения воздух+керосин. </w:t>
      </w:r>
    </w:p>
    <w:p w:rsidR="00AA0119" w:rsidRPr="009E051E" w:rsidRDefault="00A20E44" w:rsidP="009E051E">
      <w:pPr>
        <w:spacing w:after="0" w:line="20" w:lineRule="atLeast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9E051E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4857750" cy="1371600"/>
            <wp:effectExtent l="0" t="0" r="0" b="0"/>
            <wp:docPr id="49" name="Рисунок 5" descr="https://pp.userapi.com/c847021/v847021421/155871/pn4ysBktoC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s://pp.userapi.com/c847021/v847021421/155871/pn4ysBktoCU.jpg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36" b="243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119" w:rsidRPr="009E051E" w:rsidRDefault="00AA0119" w:rsidP="009E051E">
      <w:pPr>
        <w:spacing w:line="20" w:lineRule="atLeast"/>
        <w:ind w:firstLine="284"/>
        <w:rPr>
          <w:rFonts w:ascii="Times New Roman" w:hAnsi="Times New Roman" w:cs="Times New Roman"/>
          <w:sz w:val="18"/>
          <w:szCs w:val="18"/>
          <w:lang w:val="ru-RU" w:eastAsia="ru-RU"/>
        </w:rPr>
      </w:pPr>
      <w:r w:rsidRPr="009E051E">
        <w:rPr>
          <w:rFonts w:ascii="Times New Roman" w:hAnsi="Times New Roman" w:cs="Times New Roman"/>
          <w:sz w:val="18"/>
          <w:szCs w:val="18"/>
        </w:rPr>
        <w:t xml:space="preserve">Рисунок 4 - </w:t>
      </w:r>
      <w:r w:rsidRPr="009E051E">
        <w:rPr>
          <w:rFonts w:ascii="Times New Roman" w:hAnsi="Times New Roman" w:cs="Times New Roman"/>
          <w:color w:val="000000"/>
          <w:sz w:val="18"/>
          <w:szCs w:val="18"/>
        </w:rPr>
        <w:t>Распределение температуры в тракте камеры энергоустановки (продольное сечение).</w:t>
      </w:r>
      <w:r w:rsidRPr="009E051E">
        <w:rPr>
          <w:rFonts w:ascii="Times New Roman" w:hAnsi="Times New Roman" w:cs="Times New Roman"/>
          <w:sz w:val="18"/>
          <w:szCs w:val="18"/>
          <w:lang w:val="ru-RU" w:eastAsia="ru-RU"/>
        </w:rPr>
        <w:t xml:space="preserve"> </w:t>
      </w:r>
    </w:p>
    <w:p w:rsidR="00AA0119" w:rsidRPr="00AA17A8" w:rsidRDefault="00A20E44" w:rsidP="00AA17A8">
      <w:pPr>
        <w:spacing w:line="20" w:lineRule="atLeast"/>
        <w:ind w:firstLine="284"/>
        <w:jc w:val="center"/>
        <w:rPr>
          <w:rFonts w:ascii="Times New Roman" w:hAnsi="Times New Roman" w:cs="Times New Roman"/>
          <w:sz w:val="18"/>
          <w:szCs w:val="18"/>
          <w:lang w:val="ru-RU" w:eastAsia="ru-RU"/>
        </w:rPr>
      </w:pPr>
      <w:r w:rsidRPr="009E051E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4781550" cy="1485900"/>
            <wp:effectExtent l="0" t="0" r="0" b="0"/>
            <wp:docPr id="50" name="Рисунок 8" descr="https://pp.userapi.com/c847021/v847021421/15587b/tAzCvh1Yt5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https://pp.userapi.com/c847021/v847021421/15587b/tAzCvh1Yt5g.jpg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75" b="137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0119" w:rsidRPr="009E051E">
        <w:rPr>
          <w:rFonts w:ascii="Times New Roman" w:hAnsi="Times New Roman" w:cs="Times New Roman"/>
          <w:sz w:val="18"/>
          <w:szCs w:val="18"/>
        </w:rPr>
        <w:t xml:space="preserve">Рисунок 5 - </w:t>
      </w:r>
      <w:r w:rsidR="00AA0119" w:rsidRPr="009E051E">
        <w:rPr>
          <w:rFonts w:ascii="Times New Roman" w:hAnsi="Times New Roman" w:cs="Times New Roman"/>
          <w:color w:val="000000"/>
          <w:sz w:val="18"/>
          <w:szCs w:val="18"/>
        </w:rPr>
        <w:t>Картина распределения скорости в тракте камеры энергоустановки (вид сверху)</w:t>
      </w:r>
    </w:p>
    <w:p w:rsidR="00AA0119" w:rsidRPr="009E051E" w:rsidRDefault="00AA0119" w:rsidP="009E051E">
      <w:pPr>
        <w:spacing w:line="20" w:lineRule="atLeast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9E051E">
        <w:rPr>
          <w:rFonts w:ascii="Times New Roman" w:hAnsi="Times New Roman" w:cs="Times New Roman"/>
          <w:sz w:val="18"/>
          <w:szCs w:val="18"/>
        </w:rPr>
        <w:t>На рисунках 6-7 представлены результаты расчета для режима горения обогащенный кислородом воздух+керосин.</w:t>
      </w:r>
    </w:p>
    <w:p w:rsidR="00AA0119" w:rsidRPr="009E051E" w:rsidRDefault="00A20E44" w:rsidP="00AA17A8">
      <w:pPr>
        <w:spacing w:line="20" w:lineRule="atLeast"/>
        <w:ind w:firstLine="284"/>
        <w:jc w:val="center"/>
        <w:rPr>
          <w:rFonts w:ascii="Times New Roman" w:hAnsi="Times New Roman" w:cs="Times New Roman"/>
          <w:color w:val="000000"/>
          <w:sz w:val="18"/>
          <w:szCs w:val="18"/>
        </w:rPr>
      </w:pPr>
      <w:bookmarkStart w:id="8" w:name="OLE_LINK26"/>
      <w:r w:rsidRPr="009E051E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4829175" cy="1390650"/>
            <wp:effectExtent l="0" t="0" r="0" b="0"/>
            <wp:docPr id="51" name="Изображение 53" descr="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53" descr="t2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21" r="2071" b="102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bookmarkEnd w:id="8"/>
      <w:r w:rsidR="00AA0119" w:rsidRPr="009E051E">
        <w:rPr>
          <w:rFonts w:ascii="Times New Roman" w:hAnsi="Times New Roman" w:cs="Times New Roman"/>
          <w:sz w:val="18"/>
          <w:szCs w:val="18"/>
        </w:rPr>
        <w:t xml:space="preserve">Рисунок 6 - </w:t>
      </w:r>
      <w:r w:rsidR="00AA0119" w:rsidRPr="009E051E">
        <w:rPr>
          <w:rFonts w:ascii="Times New Roman" w:hAnsi="Times New Roman" w:cs="Times New Roman"/>
          <w:color w:val="000000"/>
          <w:sz w:val="18"/>
          <w:szCs w:val="18"/>
        </w:rPr>
        <w:t>Температура в тракте камеры энергоустановки 2й режим (продольное сечение).</w:t>
      </w:r>
    </w:p>
    <w:p w:rsidR="00AA0119" w:rsidRPr="009E051E" w:rsidRDefault="00A20E44" w:rsidP="009E051E">
      <w:pPr>
        <w:spacing w:after="0" w:line="20" w:lineRule="atLeast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bookmarkStart w:id="9" w:name="OLE_LINK29"/>
      <w:r w:rsidRPr="009E051E">
        <w:rPr>
          <w:rFonts w:ascii="Times New Roman" w:hAnsi="Times New Roman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4791075" cy="1466850"/>
            <wp:effectExtent l="0" t="0" r="0" b="0"/>
            <wp:docPr id="52" name="Рисунок 2" descr="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v1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4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9"/>
    </w:p>
    <w:p w:rsidR="00AA0119" w:rsidRPr="009E051E" w:rsidRDefault="00AA0119" w:rsidP="009E051E">
      <w:pPr>
        <w:spacing w:line="20" w:lineRule="atLeast"/>
        <w:jc w:val="center"/>
        <w:rPr>
          <w:rFonts w:ascii="Times New Roman" w:hAnsi="Times New Roman" w:cs="Times New Roman"/>
          <w:color w:val="000000"/>
          <w:sz w:val="18"/>
          <w:szCs w:val="18"/>
        </w:rPr>
      </w:pPr>
      <w:r w:rsidRPr="009E051E">
        <w:rPr>
          <w:rFonts w:ascii="Times New Roman" w:hAnsi="Times New Roman" w:cs="Times New Roman"/>
          <w:sz w:val="18"/>
          <w:szCs w:val="18"/>
        </w:rPr>
        <w:t xml:space="preserve">Рисунок 7 - </w:t>
      </w:r>
      <w:r w:rsidRPr="009E051E">
        <w:rPr>
          <w:rFonts w:ascii="Times New Roman" w:hAnsi="Times New Roman" w:cs="Times New Roman"/>
          <w:color w:val="000000"/>
          <w:sz w:val="18"/>
          <w:szCs w:val="18"/>
        </w:rPr>
        <w:t>Распределения скорости в тракте камеры энергоустановки 2й режим (вид сверху)</w:t>
      </w:r>
    </w:p>
    <w:p w:rsidR="00AA0119" w:rsidRPr="009E051E" w:rsidRDefault="00AA0119" w:rsidP="009E051E">
      <w:pPr>
        <w:spacing w:line="20" w:lineRule="atLeast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9E051E">
        <w:rPr>
          <w:rFonts w:ascii="Times New Roman" w:hAnsi="Times New Roman" w:cs="Times New Roman"/>
          <w:sz w:val="18"/>
          <w:szCs w:val="18"/>
        </w:rPr>
        <w:lastRenderedPageBreak/>
        <w:t>Исходя из представленных выше графических результатов численного расчета двух режимов горения можно сделать вывод, что при повышении содержания кислорода (окислителя) в воздушной смеси на 4%, увеличивается температура в самом тракте камеры сгорания энергоустановки за счет большей полноты сгорания топлива. Таким образом, режим горения, обогащенный кислородом воздух+керосин является наиболее выгодным с точки зрения эффективности преобразования химической энергии за счет увеличения полноты сгорания топлива. При анализе тепловыделения разница между обычным режимом и обогащенным составила порядка 11(кВатт) энергии.</w:t>
      </w:r>
    </w:p>
    <w:p w:rsidR="00AA0119" w:rsidRPr="00AA17A8" w:rsidRDefault="00AA0119" w:rsidP="00AA17A8">
      <w:pPr>
        <w:topLinePunct/>
        <w:spacing w:line="20" w:lineRule="atLeast"/>
        <w:ind w:firstLine="709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AA17A8">
        <w:rPr>
          <w:rFonts w:ascii="Times New Roman" w:hAnsi="Times New Roman" w:cs="Times New Roman"/>
          <w:b/>
          <w:sz w:val="18"/>
          <w:szCs w:val="18"/>
        </w:rPr>
        <w:t>Библиографический список</w:t>
      </w:r>
    </w:p>
    <w:p w:rsidR="00AA0119" w:rsidRPr="009E051E" w:rsidRDefault="00AA0119" w:rsidP="00AA17A8">
      <w:pPr>
        <w:topLinePunct/>
        <w:spacing w:after="0" w:line="20" w:lineRule="atLeast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9E051E">
        <w:rPr>
          <w:rFonts w:ascii="Times New Roman" w:hAnsi="Times New Roman" w:cs="Times New Roman"/>
          <w:sz w:val="18"/>
          <w:szCs w:val="18"/>
        </w:rPr>
        <w:t>1. Бондарюк М.М., Ильюшенко С.М. Прямоточные воздушно-реактивные двигатели. М.: Государственное издательство оборонной промышленности, 1958.</w:t>
      </w:r>
    </w:p>
    <w:p w:rsidR="00AA0119" w:rsidRPr="009E051E" w:rsidRDefault="00AA0119" w:rsidP="00AA17A8">
      <w:pPr>
        <w:pStyle w:val="a4"/>
        <w:topLinePunct/>
        <w:spacing w:after="0" w:line="20" w:lineRule="atLeast"/>
        <w:ind w:left="0" w:firstLine="426"/>
        <w:jc w:val="both"/>
        <w:rPr>
          <w:rFonts w:ascii="Times New Roman" w:hAnsi="Times New Roman" w:cs="Times New Roman"/>
          <w:sz w:val="18"/>
          <w:szCs w:val="18"/>
        </w:rPr>
      </w:pPr>
      <w:r w:rsidRPr="009E051E">
        <w:rPr>
          <w:rFonts w:ascii="Times New Roman" w:hAnsi="Times New Roman" w:cs="Times New Roman"/>
          <w:sz w:val="18"/>
          <w:szCs w:val="18"/>
        </w:rPr>
        <w:t>2. Гарбарук А.В., М.Х. Стрелец, М.Л. Шур. / Моделирование турбулентности в расчетах сложных течений / Изд-во Политех. Ун-та, СПБ, 2012, 88 с.</w:t>
      </w:r>
    </w:p>
    <w:p w:rsidR="00AA0119" w:rsidRPr="009E051E" w:rsidRDefault="00AA0119" w:rsidP="00AA17A8">
      <w:pPr>
        <w:pStyle w:val="Bodytext2"/>
        <w:shd w:val="clear" w:color="auto" w:fill="auto"/>
        <w:tabs>
          <w:tab w:val="left" w:pos="610"/>
        </w:tabs>
        <w:topLinePunct/>
        <w:spacing w:before="0" w:after="0" w:line="20" w:lineRule="atLeast"/>
        <w:ind w:firstLine="426"/>
        <w:jc w:val="both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9E051E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3. Расчет образования CO и NO</w:t>
      </w:r>
      <w:r w:rsidRPr="009E051E">
        <w:rPr>
          <w:rFonts w:ascii="Times New Roman" w:hAnsi="Times New Roman" w:cs="Times New Roman"/>
          <w:color w:val="000000"/>
          <w:sz w:val="18"/>
          <w:szCs w:val="18"/>
          <w:lang w:val="en-US" w:eastAsia="ru-RU"/>
        </w:rPr>
        <w:t>x</w:t>
      </w:r>
      <w:r w:rsidRPr="009E051E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 xml:space="preserve"> в камерах сгорания ГТД [Электронный ресурс]: электрон. учеб. пособие / С. Г. Матвеев, С. В. Лукачев, М. Ю. Орлов, И. В. Чечет, Ю. В. Красовская; Минобрнауки России, Самар. гос. аэрокосм. ун-т им. С. П. Королева (нац. исслед. ун-т). - Электрон. текстовые и граф. дан. (1,07 Мбайт). - Самара, 2012.</w:t>
      </w:r>
    </w:p>
    <w:p w:rsidR="00AA0119" w:rsidRDefault="00AA0119">
      <w:pPr>
        <w:spacing w:line="20" w:lineRule="atLeast"/>
        <w:ind w:firstLine="709"/>
        <w:jc w:val="both"/>
        <w:rPr>
          <w:rFonts w:ascii="Times New Roman" w:cs="Times New Roman"/>
          <w:sz w:val="18"/>
          <w:szCs w:val="18"/>
        </w:rPr>
      </w:pPr>
    </w:p>
    <w:p w:rsidR="00AA0119" w:rsidRDefault="00AA0119">
      <w:pPr>
        <w:spacing w:line="20" w:lineRule="atLeast"/>
        <w:ind w:firstLine="709"/>
        <w:jc w:val="both"/>
        <w:rPr>
          <w:rFonts w:ascii="Times New Roman" w:cs="Times New Roman"/>
          <w:sz w:val="18"/>
          <w:szCs w:val="18"/>
        </w:rPr>
      </w:pPr>
    </w:p>
    <w:p w:rsidR="00AA0119" w:rsidRDefault="00AA0119">
      <w:pPr>
        <w:spacing w:line="20" w:lineRule="atLeast"/>
        <w:ind w:firstLine="709"/>
        <w:jc w:val="both"/>
        <w:rPr>
          <w:rFonts w:ascii="Times New Roman" w:cs="Times New Roman"/>
          <w:sz w:val="18"/>
          <w:szCs w:val="18"/>
          <w:lang w:val="en-US"/>
        </w:rPr>
      </w:pPr>
    </w:p>
    <w:p w:rsidR="00AA0119" w:rsidRDefault="00AA0119">
      <w:pPr>
        <w:spacing w:line="20" w:lineRule="atLeast"/>
        <w:jc w:val="center"/>
        <w:rPr>
          <w:rFonts w:ascii="Times New Roman" w:cs="Times New Roman"/>
          <w:color w:val="000000"/>
          <w:sz w:val="18"/>
          <w:szCs w:val="18"/>
        </w:rPr>
      </w:pPr>
    </w:p>
    <w:p w:rsidR="00AA0119" w:rsidRDefault="00AA0119">
      <w:pPr>
        <w:spacing w:after="0" w:line="20" w:lineRule="atLeast"/>
        <w:ind w:firstLine="284"/>
        <w:jc w:val="both"/>
        <w:rPr>
          <w:rFonts w:ascii="Times New Roman" w:cs="Times New Roman"/>
          <w:sz w:val="18"/>
          <w:szCs w:val="18"/>
        </w:rPr>
      </w:pPr>
    </w:p>
    <w:sectPr w:rsidR="00AA0119">
      <w:pgSz w:w="11906" w:h="16838"/>
      <w:pgMar w:top="2517" w:right="1985" w:bottom="2517" w:left="1985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119" w:rsidRDefault="00AA01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separator/>
      </w:r>
    </w:p>
  </w:endnote>
  <w:endnote w:type="continuationSeparator" w:id="0">
    <w:p w:rsidR="00AA0119" w:rsidRDefault="00AA01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119" w:rsidRDefault="00AA01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separator/>
      </w:r>
    </w:p>
  </w:footnote>
  <w:footnote w:type="continuationSeparator" w:id="0">
    <w:p w:rsidR="00AA0119" w:rsidRDefault="00AA01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462AD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BD8EC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712A5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2E1C70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4BEA7B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31C63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E70C2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5A617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57E20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F6C62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characterSpacingControl w:val="doNotCompress"/>
  <w:noLineBreaksAfter w:lang="ja-JP" w:val="([{·‘“〈《「『【〔〖（．［｛￡￥"/>
  <w:noLineBreaksBefore w:lang="ja-JP" w:val="!),.:;?]}¨·ˇˉ―‖’”…∶、。〃々〉》」』】〕〗！＂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51E"/>
    <w:rsid w:val="00000000"/>
    <w:rsid w:val="009E051E"/>
    <w:rsid w:val="00A20E44"/>
    <w:rsid w:val="00AA0119"/>
    <w:rsid w:val="00AA1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458942D-9B38-4C8D-A8F1-B36D7D49E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qFormat="1"/>
    <w:lsdException w:name="index 2" w:qFormat="1"/>
    <w:lsdException w:name="index 3" w:qFormat="1"/>
    <w:lsdException w:name="index 4" w:qFormat="1"/>
    <w:lsdException w:name="index 5" w:qFormat="1"/>
    <w:lsdException w:name="index 6" w:qFormat="1"/>
    <w:lsdException w:name="index 7" w:qFormat="1"/>
    <w:lsdException w:name="index 8" w:qFormat="1"/>
    <w:lsdException w:name="index 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qFormat="1"/>
    <w:lsdException w:name="footnote text" w:qFormat="1"/>
    <w:lsdException w:name="annotation text" w:qFormat="1"/>
    <w:lsdException w:name="header" w:qFormat="1"/>
    <w:lsdException w:name="footer" w:qFormat="1"/>
    <w:lsdException w:name="index heading" w:qFormat="1"/>
    <w:lsdException w:name="caption" w:semiHidden="1" w:uiPriority="35" w:unhideWhenUsed="1" w:qFormat="1"/>
    <w:lsdException w:name="table of figures" w:qFormat="1"/>
    <w:lsdException w:name="envelope address" w:qFormat="1"/>
    <w:lsdException w:name="envelope return" w:qFormat="1"/>
    <w:lsdException w:name="footnote reference" w:qFormat="1"/>
    <w:lsdException w:name="annotation reference" w:qFormat="1"/>
    <w:lsdException w:name="line number" w:qFormat="1"/>
    <w:lsdException w:name="page number" w:qFormat="1"/>
    <w:lsdException w:name="endnote reference" w:qFormat="1"/>
    <w:lsdException w:name="endnote text" w:qFormat="1"/>
    <w:lsdException w:name="table of authorities" w:qFormat="1"/>
    <w:lsdException w:name="macro" w:qFormat="1"/>
    <w:lsdException w:name="toa heading" w:qFormat="1"/>
    <w:lsdException w:name="List" w:qFormat="1"/>
    <w:lsdException w:name="List Bullet" w:qFormat="1"/>
    <w:lsdException w:name="List Number" w:qFormat="1"/>
    <w:lsdException w:name="List 2" w:qFormat="1"/>
    <w:lsdException w:name="List 3" w:qFormat="1"/>
    <w:lsdException w:name="List 4" w:qFormat="1"/>
    <w:lsdException w:name="List 5" w:qFormat="1"/>
    <w:lsdException w:name="List Bullet 2" w:qFormat="1"/>
    <w:lsdException w:name="List Bullet 3" w:qFormat="1"/>
    <w:lsdException w:name="List Bullet 4" w:qFormat="1"/>
    <w:lsdException w:name="List Bullet 5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qFormat="1"/>
    <w:lsdException w:name="Signature" w:qFormat="1"/>
    <w:lsdException w:name="Default Paragraph Font" w:uiPriority="1" w:unhideWhenUsed="1"/>
    <w:lsdException w:name="Body Text" w:qFormat="1"/>
    <w:lsdException w:name="Body Text Indent" w:qFormat="1"/>
    <w:lsdException w:name="List Continue" w:qFormat="1"/>
    <w:lsdException w:name="List Continue 2" w:qFormat="1"/>
    <w:lsdException w:name="List Continue 3" w:qFormat="1"/>
    <w:lsdException w:name="List Continue 4" w:qFormat="1"/>
    <w:lsdException w:name="List Continue 5" w:qFormat="1"/>
    <w:lsdException w:name="Message Header" w:qFormat="1"/>
    <w:lsdException w:name="Subtitle" w:uiPriority="11" w:qFormat="1"/>
    <w:lsdException w:name="Salutation" w:qFormat="1"/>
    <w:lsdException w:name="Date" w:qFormat="1"/>
    <w:lsdException w:name="Body Text First Indent" w:qFormat="1"/>
    <w:lsdException w:name="Body Text First Indent 2" w:qFormat="1"/>
    <w:lsdException w:name="Note Heading" w:qFormat="1"/>
    <w:lsdException w:name="Body Text 2" w:qFormat="1"/>
    <w:lsdException w:name="Body Text 3" w:qFormat="1"/>
    <w:lsdException w:name="Body Text Indent 2" w:qFormat="1"/>
    <w:lsdException w:name="Body Text Indent 3" w:qFormat="1"/>
    <w:lsdException w:name="Block Text" w:qFormat="1"/>
    <w:lsdException w:name="Hyperlink" w:qFormat="1"/>
    <w:lsdException w:name="FollowedHyperlink" w:qFormat="1"/>
    <w:lsdException w:name="Strong" w:uiPriority="22" w:qFormat="1"/>
    <w:lsdException w:name="Emphasis" w:uiPriority="20" w:qFormat="1"/>
    <w:lsdException w:name="Document Map" w:qFormat="1"/>
    <w:lsdException w:name="Plain Text" w:qFormat="1"/>
    <w:lsdException w:name="E-mail Signature" w:qFormat="1"/>
    <w:lsdException w:name="Normal (Web)" w:qFormat="1"/>
    <w:lsdException w:name="HTML Acronym" w:qFormat="1"/>
    <w:lsdException w:name="HTML Address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Preformatted" w:qFormat="1"/>
    <w:lsdException w:name="HTML Sample" w:qFormat="1"/>
    <w:lsdException w:name="HTML Typewriter" w:qFormat="1"/>
    <w:lsdException w:name="HTML Variable" w:qFormat="1"/>
    <w:lsdException w:name="Normal Table" w:qFormat="1"/>
    <w:lsdException w:name="annotation subject" w:qFormat="1"/>
    <w:lsdException w:name="No List" w:semiHidden="1" w:unhideWhenUsed="1"/>
    <w:lsdException w:name="Table Simple 1" w:qFormat="1"/>
    <w:lsdException w:name="Table Simple 2" w:qFormat="1"/>
    <w:lsdException w:name="Table Simple 3" w:qFormat="1"/>
    <w:lsdException w:name="Table Classic 1" w:qFormat="1"/>
    <w:lsdException w:name="Table Classic 2" w:qFormat="1"/>
    <w:lsdException w:name="Table Classic 3" w:qFormat="1"/>
    <w:lsdException w:name="Table Classic 4" w:qFormat="1"/>
    <w:lsdException w:name="Table Colorful 1" w:qFormat="1"/>
    <w:lsdException w:name="Table Colorful 2" w:qFormat="1"/>
    <w:lsdException w:name="Table Colorful 3" w:qFormat="1"/>
    <w:lsdException w:name="Table Columns 1" w:qFormat="1"/>
    <w:lsdException w:name="Table Columns 2" w:qFormat="1"/>
    <w:lsdException w:name="Table Columns 3" w:qFormat="1"/>
    <w:lsdException w:name="Table Columns 4" w:qFormat="1"/>
    <w:lsdException w:name="Table Columns 5" w:qFormat="1"/>
    <w:lsdException w:name="Table Grid 1" w:qFormat="1"/>
    <w:lsdException w:name="Table Grid 2" w:qFormat="1"/>
    <w:lsdException w:name="Table Grid 3" w:qFormat="1"/>
    <w:lsdException w:name="Table Grid 4" w:qFormat="1"/>
    <w:lsdException w:name="Table Grid 5" w:qFormat="1"/>
    <w:lsdException w:name="Table Grid 6" w:qFormat="1"/>
    <w:lsdException w:name="Table Grid 7" w:qFormat="1"/>
    <w:lsdException w:name="Table Grid 8" w:qFormat="1"/>
    <w:lsdException w:name="Table List 1" w:qFormat="1"/>
    <w:lsdException w:name="Table List 2" w:qFormat="1"/>
    <w:lsdException w:name="Table List 3" w:qFormat="1"/>
    <w:lsdException w:name="Table List 4" w:qFormat="1"/>
    <w:lsdException w:name="Table List 5" w:qFormat="1"/>
    <w:lsdException w:name="Table List 6" w:qFormat="1"/>
    <w:lsdException w:name="Table List 7" w:qFormat="1"/>
    <w:lsdException w:name="Table List 8" w:qFormat="1"/>
    <w:lsdException w:name="Table 3D effects 1" w:qFormat="1"/>
    <w:lsdException w:name="Table 3D effects 2" w:qFormat="1"/>
    <w:lsdException w:name="Table 3D effects 3" w:qFormat="1"/>
    <w:lsdException w:name="Table Contemporary" w:qFormat="1"/>
    <w:lsdException w:name="Table Elegant" w:qFormat="1"/>
    <w:lsdException w:name="Table Professional" w:qFormat="1"/>
    <w:lsdException w:name="Table Subtle 1" w:qFormat="1"/>
    <w:lsdException w:name="Table Subtle 2" w:qFormat="1"/>
    <w:lsdException w:name="Table Web 1" w:qFormat="1"/>
    <w:lsdException w:name="Table Web 2" w:qFormat="1"/>
    <w:lsdException w:name="Table Web 3" w:qFormat="1"/>
    <w:lsdException w:name="Balloon Text" w:qFormat="1"/>
    <w:lsdException w:name="Table Grid" w:uiPriority="39" w:qFormat="1"/>
    <w:lsdException w:name="Table Theme" w:qFormat="1"/>
    <w:lsdException w:name="Placeholder Text" w:semiHidden="1" w:unhideWhenUsed="1"/>
    <w:lsdException w:name="No Spacing" w:qFormat="1"/>
    <w:lsdException w:name="List Paragraph" w:uiPriority="34" w:qFormat="1"/>
    <w:lsdException w:name="Quote" w:qFormat="1"/>
    <w:lsdException w:name="Intense Quote" w:qFormat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 w:line="259" w:lineRule="auto"/>
      <w:outlineLvl w:val="0"/>
    </w:pPr>
    <w:rPr>
      <w:rFonts w:ascii="Times New Roman" w:hAnsi="Calibri Light" w:cs="Times New Roman"/>
      <w:color w:val="2F5496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unhideWhenUsed/>
    <w:locked/>
    <w:rPr>
      <w:rFonts w:eastAsia="Times New Roman" w:hAnsi="Calibri Light" w:cs="Times New Roman"/>
      <w:color w:val="2F5496"/>
      <w:sz w:val="32"/>
      <w:szCs w:val="32"/>
    </w:rPr>
  </w:style>
  <w:style w:type="character" w:styleId="a3">
    <w:name w:val="Strong"/>
    <w:basedOn w:val="a0"/>
    <w:uiPriority w:val="22"/>
    <w:qFormat/>
    <w:rPr>
      <w:rFonts w:eastAsia="Times New Roman" w:hAnsi="Calibri" w:cs="Times New Roman"/>
      <w:b/>
      <w:bCs/>
    </w:rPr>
  </w:style>
  <w:style w:type="paragraph" w:styleId="a4">
    <w:name w:val="List Paragraph"/>
    <w:basedOn w:val="a"/>
    <w:uiPriority w:val="34"/>
    <w:qFormat/>
    <w:pPr>
      <w:ind w:left="720"/>
    </w:pPr>
  </w:style>
  <w:style w:type="paragraph" w:customStyle="1" w:styleId="Bodytext2">
    <w:name w:val="Body text (2)"/>
    <w:basedOn w:val="a"/>
    <w:qFormat/>
    <w:pPr>
      <w:widowControl w:val="0"/>
      <w:shd w:val="clear" w:color="auto" w:fill="FFFFFF"/>
      <w:spacing w:before="120" w:after="120" w:line="240" w:lineRule="atLeast"/>
      <w:ind w:hanging="460"/>
      <w:jc w:val="center"/>
    </w:pPr>
    <w:rPr>
      <w:rFonts w:ascii="Arial" w:hAnsi="Arial" w:cs="Arial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image" Target="media/image49.jpe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41" Type="http://schemas.openxmlformats.org/officeDocument/2006/relationships/image" Target="media/image35.png"/><Relationship Id="rId54" Type="http://schemas.openxmlformats.org/officeDocument/2006/relationships/image" Target="media/image48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jpeg"/><Relationship Id="rId58" Type="http://schemas.openxmlformats.org/officeDocument/2006/relationships/image" Target="media/image52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1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jpeg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image" Target="media/image50.jpe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1638</Words>
  <Characters>9337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Pavel Sizov</cp:lastModifiedBy>
  <cp:revision>2</cp:revision>
  <dcterms:created xsi:type="dcterms:W3CDTF">2019-06-11T19:42:00Z</dcterms:created>
  <dcterms:modified xsi:type="dcterms:W3CDTF">2019-06-11T19:42:00Z</dcterms:modified>
</cp:coreProperties>
</file>